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996BC" w14:textId="65CA584E" w:rsidR="00485C63" w:rsidRDefault="00474698" w:rsidP="00485C63">
      <w:pPr>
        <w:jc w:val="center"/>
        <w:rPr>
          <w:rFonts w:ascii="Times New Roman" w:hAnsi="Times New Roman" w:cs="Times New Roman"/>
          <w:lang w:val="en-US"/>
        </w:rPr>
      </w:pPr>
      <w:r w:rsidRPr="008E7967">
        <w:rPr>
          <w:rFonts w:ascii="Times New Roman" w:hAnsi="Times New Roman" w:cs="Times New Roman"/>
          <w:b/>
          <w:lang w:val="en-US"/>
        </w:rPr>
        <w:t>GDP of the Sugar and Alcohol Sector in Brazil and Northeast: an input-output approach</w:t>
      </w:r>
    </w:p>
    <w:p w14:paraId="1EAA82A0" w14:textId="7FCDBCA6" w:rsidR="00485C63" w:rsidRDefault="00485C63" w:rsidP="00485C63">
      <w:pPr>
        <w:jc w:val="center"/>
        <w:rPr>
          <w:rFonts w:ascii="Times New Roman" w:hAnsi="Times New Roman" w:cs="Times New Roman"/>
          <w:lang w:val="en-US"/>
        </w:rPr>
      </w:pPr>
    </w:p>
    <w:p w14:paraId="12CB161B" w14:textId="2B0F7C55" w:rsidR="00485C63" w:rsidRDefault="00485C63" w:rsidP="00485C63">
      <w:pPr>
        <w:jc w:val="center"/>
        <w:rPr>
          <w:rFonts w:ascii="Times New Roman" w:hAnsi="Times New Roman" w:cs="Times New Roman"/>
          <w:lang w:val="en-US"/>
        </w:rPr>
      </w:pPr>
    </w:p>
    <w:p w14:paraId="55D0D776" w14:textId="77777777" w:rsidR="00BD1E9F" w:rsidRPr="00485C63" w:rsidRDefault="00BD1E9F" w:rsidP="00ED4EE3">
      <w:pPr>
        <w:jc w:val="both"/>
        <w:rPr>
          <w:rFonts w:ascii="Times New Roman" w:hAnsi="Times New Roman" w:cs="Times New Roman"/>
          <w:b/>
        </w:rPr>
      </w:pPr>
    </w:p>
    <w:p w14:paraId="47E6AF52" w14:textId="77777777" w:rsidR="00AE5903" w:rsidRDefault="00AE5903" w:rsidP="001A5046">
      <w:pPr>
        <w:jc w:val="center"/>
        <w:rPr>
          <w:rFonts w:ascii="Times New Roman" w:hAnsi="Times New Roman" w:cs="Times New Roman"/>
          <w:lang w:val="en-US"/>
        </w:rPr>
      </w:pPr>
      <w:r w:rsidRPr="00091F62">
        <w:rPr>
          <w:rFonts w:ascii="Times New Roman" w:hAnsi="Times New Roman" w:cs="Times New Roman"/>
          <w:b/>
          <w:lang w:val="en-US"/>
        </w:rPr>
        <w:t>ABSTRACT</w:t>
      </w:r>
    </w:p>
    <w:p w14:paraId="77E0B461" w14:textId="77777777" w:rsidR="00AE5903" w:rsidRDefault="00AE5903" w:rsidP="00ED4EE3">
      <w:pPr>
        <w:jc w:val="both"/>
        <w:rPr>
          <w:rFonts w:ascii="Times New Roman" w:hAnsi="Times New Roman" w:cs="Times New Roman"/>
          <w:lang w:val="en-US"/>
        </w:rPr>
      </w:pPr>
    </w:p>
    <w:p w14:paraId="0274D40B" w14:textId="77777777" w:rsidR="00BD1E9F" w:rsidRDefault="000510BF" w:rsidP="001D702F">
      <w:pPr>
        <w:jc w:val="both"/>
        <w:rPr>
          <w:rFonts w:ascii="Times New Roman" w:hAnsi="Times New Roman" w:cs="Times New Roman"/>
          <w:lang w:val="en-US"/>
        </w:rPr>
      </w:pPr>
      <w:r>
        <w:rPr>
          <w:rFonts w:ascii="Times New Roman" w:hAnsi="Times New Roman" w:cs="Times New Roman"/>
          <w:lang w:val="en-US"/>
        </w:rPr>
        <w:t>Under the traditional cl</w:t>
      </w:r>
      <w:bookmarkStart w:id="0" w:name="_GoBack"/>
      <w:bookmarkEnd w:id="0"/>
      <w:r>
        <w:rPr>
          <w:rFonts w:ascii="Times New Roman" w:hAnsi="Times New Roman" w:cs="Times New Roman"/>
          <w:lang w:val="en-US"/>
        </w:rPr>
        <w:t>assification into primary, secondary and tertiary sectors, the value of Agriculture Gross Domestic Product – GDP – is underestimated since upstream and downstream relations are not computed in this statistic. In order to solve this problem, several recent stu</w:t>
      </w:r>
      <w:r w:rsidR="002444A4">
        <w:rPr>
          <w:rFonts w:ascii="Times New Roman" w:hAnsi="Times New Roman" w:cs="Times New Roman"/>
          <w:lang w:val="en-US"/>
        </w:rPr>
        <w:t>dies, using the concept of Agrib</w:t>
      </w:r>
      <w:r>
        <w:rPr>
          <w:rFonts w:ascii="Times New Roman" w:hAnsi="Times New Roman" w:cs="Times New Roman"/>
          <w:lang w:val="en-US"/>
        </w:rPr>
        <w:t>usine</w:t>
      </w:r>
      <w:r w:rsidR="002444A4">
        <w:rPr>
          <w:rFonts w:ascii="Times New Roman" w:hAnsi="Times New Roman" w:cs="Times New Roman"/>
          <w:lang w:val="en-US"/>
        </w:rPr>
        <w:t>s</w:t>
      </w:r>
      <w:r>
        <w:rPr>
          <w:rFonts w:ascii="Times New Roman" w:hAnsi="Times New Roman" w:cs="Times New Roman"/>
          <w:lang w:val="en-US"/>
        </w:rPr>
        <w:t>s, a term coined by Davis and Goldberg in 1957, and representing the sum of all activities related to agriculture, have sought to estimate the value of agricultural GDP considering this activity as the</w:t>
      </w:r>
      <w:r w:rsidR="002444A4">
        <w:rPr>
          <w:rFonts w:ascii="Times New Roman" w:hAnsi="Times New Roman" w:cs="Times New Roman"/>
          <w:lang w:val="en-US"/>
        </w:rPr>
        <w:t xml:space="preserve"> core of a much larger economic</w:t>
      </w:r>
      <w:r>
        <w:rPr>
          <w:rFonts w:ascii="Times New Roman" w:hAnsi="Times New Roman" w:cs="Times New Roman"/>
          <w:lang w:val="en-US"/>
        </w:rPr>
        <w:t xml:space="preserve"> system and called Agribusiness and Agro-industrial Complex (CAI). In this work, we attempted to quantify the GDP of the sugar and alcohol sector both for the Northeast and for Brazil, and the participation of the region in GDP composition of this sector in Brazil. The results show that the GDP of this sector accounts for 9.21% of regional GDP. In Brazil, this share is 6.91%. The industry in the Northeast account for 15.57% of the national GDP of activity.</w:t>
      </w:r>
    </w:p>
    <w:p w14:paraId="56F76590" w14:textId="77777777" w:rsidR="00F103E2" w:rsidRDefault="00F103E2" w:rsidP="00ED4EE3">
      <w:pPr>
        <w:spacing w:line="360" w:lineRule="auto"/>
        <w:jc w:val="both"/>
        <w:rPr>
          <w:rFonts w:ascii="Times New Roman" w:hAnsi="Times New Roman" w:cs="Times New Roman"/>
          <w:lang w:val="en-US"/>
        </w:rPr>
      </w:pPr>
    </w:p>
    <w:p w14:paraId="091CAA7A" w14:textId="77777777" w:rsidR="003949D9" w:rsidRDefault="00F103E2" w:rsidP="00ED4EE3">
      <w:pPr>
        <w:spacing w:line="360" w:lineRule="auto"/>
        <w:jc w:val="both"/>
        <w:rPr>
          <w:rFonts w:ascii="Times New Roman" w:hAnsi="Times New Roman" w:cs="Times New Roman"/>
          <w:lang w:val="en-US"/>
        </w:rPr>
      </w:pPr>
      <w:r w:rsidRPr="009975B9">
        <w:rPr>
          <w:rFonts w:ascii="Times New Roman" w:hAnsi="Times New Roman" w:cs="Times New Roman"/>
          <w:b/>
          <w:lang w:val="en-US"/>
        </w:rPr>
        <w:t>Keywords:</w:t>
      </w:r>
      <w:r>
        <w:rPr>
          <w:rFonts w:ascii="Times New Roman" w:hAnsi="Times New Roman" w:cs="Times New Roman"/>
          <w:lang w:val="en-US"/>
        </w:rPr>
        <w:t xml:space="preserve"> agribusiness, Brazil, input-output, Northeast, sugar and alcohol</w:t>
      </w:r>
      <w:r w:rsidR="007E1582">
        <w:rPr>
          <w:rFonts w:ascii="Times New Roman" w:hAnsi="Times New Roman" w:cs="Times New Roman"/>
          <w:lang w:val="en-US"/>
        </w:rPr>
        <w:t>.</w:t>
      </w:r>
    </w:p>
    <w:p w14:paraId="34426252" w14:textId="77777777" w:rsidR="00FE5FB3" w:rsidRDefault="0071142B" w:rsidP="00ED4EE3">
      <w:pPr>
        <w:spacing w:line="360" w:lineRule="auto"/>
        <w:jc w:val="both"/>
        <w:rPr>
          <w:rFonts w:ascii="Times New Roman" w:hAnsi="Times New Roman" w:cs="Times New Roman"/>
          <w:lang w:val="en-US"/>
        </w:rPr>
      </w:pPr>
      <w:r>
        <w:rPr>
          <w:rFonts w:ascii="Times New Roman" w:hAnsi="Times New Roman" w:cs="Times New Roman"/>
          <w:b/>
          <w:lang w:val="en-US"/>
        </w:rPr>
        <w:t>JEL: C67, E23, Q11.</w:t>
      </w:r>
    </w:p>
    <w:p w14:paraId="562B4415" w14:textId="77777777" w:rsidR="00FE5FB3" w:rsidRDefault="00FE5FB3" w:rsidP="00ED4EE3">
      <w:pPr>
        <w:spacing w:line="360" w:lineRule="auto"/>
        <w:jc w:val="both"/>
        <w:rPr>
          <w:rFonts w:ascii="Times New Roman" w:hAnsi="Times New Roman" w:cs="Times New Roman"/>
          <w:lang w:val="en-US"/>
        </w:rPr>
      </w:pPr>
    </w:p>
    <w:p w14:paraId="6C002EA9" w14:textId="1F8A8EA8" w:rsidR="00F103E2" w:rsidRPr="00AE5903" w:rsidRDefault="00FE5FB3" w:rsidP="00FE5FB3">
      <w:pPr>
        <w:spacing w:line="360" w:lineRule="auto"/>
        <w:jc w:val="center"/>
        <w:rPr>
          <w:rFonts w:ascii="Times New Roman" w:hAnsi="Times New Roman" w:cs="Times New Roman"/>
          <w:lang w:val="en-US"/>
        </w:rPr>
      </w:pPr>
      <w:r w:rsidRPr="00FE5FB3">
        <w:rPr>
          <w:rFonts w:ascii="Times New Roman" w:hAnsi="Times New Roman" w:cs="Times New Roman"/>
          <w:b/>
          <w:lang w:val="en-US"/>
        </w:rPr>
        <w:t>RESUMO</w:t>
      </w:r>
    </w:p>
    <w:p w14:paraId="0B6719C5" w14:textId="77777777" w:rsidR="001D702F" w:rsidRDefault="001D702F" w:rsidP="00ED4EE3">
      <w:pPr>
        <w:jc w:val="both"/>
        <w:rPr>
          <w:rFonts w:ascii="Times New Roman" w:hAnsi="Times New Roman"/>
        </w:rPr>
      </w:pPr>
    </w:p>
    <w:p w14:paraId="5E0B0912" w14:textId="0D543E9C" w:rsidR="00474698" w:rsidRDefault="001D702F" w:rsidP="00ED4EE3">
      <w:pPr>
        <w:jc w:val="both"/>
        <w:rPr>
          <w:rFonts w:ascii="Times New Roman" w:hAnsi="Times New Roman"/>
        </w:rPr>
      </w:pPr>
      <w:r w:rsidRPr="00B97EB2">
        <w:rPr>
          <w:rFonts w:ascii="Times New Roman" w:hAnsi="Times New Roman"/>
        </w:rPr>
        <w:t xml:space="preserve">Sob a classificação tradicional em setores primário, secundário e terciário a agropecuária tem o valor do Produto Interno Bruto - PIB - subestimado uma vez que os produtos gerados a montante (insumos, implementos e máquinas) e a jusante (processamento, transformação e distribuição) não são computados nessa estatística. Objetivando equacionar essa distorção, diversos trabalhos recentes, utilizando-se do conceito de </w:t>
      </w:r>
      <w:r w:rsidRPr="00B97EB2">
        <w:rPr>
          <w:rFonts w:ascii="Times New Roman" w:hAnsi="Times New Roman"/>
          <w:i/>
        </w:rPr>
        <w:t>Agribusiness</w:t>
      </w:r>
      <w:r w:rsidRPr="00B97EB2">
        <w:rPr>
          <w:rFonts w:ascii="Times New Roman" w:hAnsi="Times New Roman"/>
        </w:rPr>
        <w:t xml:space="preserve"> - termo cunhado por Davis e Goldberg em 1957 e que representa a soma de todas as atividades ligadas à agropecuária, têm buscado dimensionar o valor do PIB agropecuária considerando essa atividade como o núcleo de um sistema econômico muito mais amplo e denominado de Agronegócio ou Complexo Agroindustrial (CAI). Neste trabalho, buscou-se quantificar o PIB do setor sucroalcooleiro tanto para o Nordeste quanto para o Brasil, bem como a participação dessa região na composição do PIB desse setor no Brasil. Os resultados demonstram que essa participação foi de 15,57%.</w:t>
      </w:r>
    </w:p>
    <w:p w14:paraId="73F2A84E" w14:textId="3F2FBD09" w:rsidR="001D702F" w:rsidRDefault="001D702F" w:rsidP="00ED4EE3">
      <w:pPr>
        <w:jc w:val="both"/>
        <w:rPr>
          <w:rFonts w:ascii="Times New Roman" w:hAnsi="Times New Roman"/>
        </w:rPr>
      </w:pPr>
    </w:p>
    <w:p w14:paraId="2573D01F" w14:textId="7AF82182" w:rsidR="001D702F" w:rsidRDefault="001D702F" w:rsidP="001D702F">
      <w:pPr>
        <w:spacing w:line="360" w:lineRule="auto"/>
        <w:jc w:val="both"/>
        <w:rPr>
          <w:rFonts w:ascii="Times New Roman" w:hAnsi="Times New Roman"/>
        </w:rPr>
      </w:pPr>
      <w:r>
        <w:rPr>
          <w:rFonts w:ascii="Times New Roman" w:hAnsi="Times New Roman"/>
          <w:b/>
        </w:rPr>
        <w:t>Palavras-chave:</w:t>
      </w:r>
      <w:r>
        <w:rPr>
          <w:rFonts w:ascii="Times New Roman" w:hAnsi="Times New Roman"/>
        </w:rPr>
        <w:t xml:space="preserve"> Agronegócio, Brasil, Insumo-produto, Nordeste, açúcar e álcool.</w:t>
      </w:r>
    </w:p>
    <w:p w14:paraId="1C2A70CA" w14:textId="79096FFC" w:rsidR="001D702F" w:rsidRDefault="001D702F" w:rsidP="001D702F">
      <w:pPr>
        <w:spacing w:line="360" w:lineRule="auto"/>
        <w:jc w:val="both"/>
        <w:rPr>
          <w:rFonts w:ascii="Times New Roman" w:hAnsi="Times New Roman"/>
        </w:rPr>
      </w:pPr>
      <w:r>
        <w:rPr>
          <w:rFonts w:ascii="Times New Roman" w:hAnsi="Times New Roman"/>
          <w:b/>
        </w:rPr>
        <w:t>JEL: C67, E23, Q11.</w:t>
      </w:r>
    </w:p>
    <w:p w14:paraId="7A1A207D" w14:textId="575D44AF" w:rsidR="00967ABD" w:rsidRDefault="00967ABD" w:rsidP="001D702F">
      <w:pPr>
        <w:spacing w:line="360" w:lineRule="auto"/>
        <w:jc w:val="both"/>
        <w:rPr>
          <w:rFonts w:ascii="Times New Roman" w:hAnsi="Times New Roman"/>
        </w:rPr>
      </w:pPr>
    </w:p>
    <w:p w14:paraId="3020CF5B" w14:textId="75BFB178" w:rsidR="00967ABD" w:rsidRDefault="00967ABD" w:rsidP="001D702F">
      <w:pPr>
        <w:spacing w:line="360" w:lineRule="auto"/>
        <w:jc w:val="both"/>
        <w:rPr>
          <w:rFonts w:ascii="Times New Roman" w:hAnsi="Times New Roman"/>
        </w:rPr>
      </w:pPr>
    </w:p>
    <w:p w14:paraId="56083982" w14:textId="1493263E" w:rsidR="00967ABD" w:rsidRDefault="00967ABD" w:rsidP="001D702F">
      <w:pPr>
        <w:spacing w:line="360" w:lineRule="auto"/>
        <w:jc w:val="both"/>
        <w:rPr>
          <w:rFonts w:ascii="Times New Roman" w:hAnsi="Times New Roman"/>
        </w:rPr>
      </w:pPr>
    </w:p>
    <w:p w14:paraId="6C2ECF38" w14:textId="77777777" w:rsidR="00967ABD" w:rsidRPr="00967ABD" w:rsidRDefault="00967ABD" w:rsidP="001D702F">
      <w:pPr>
        <w:spacing w:line="360" w:lineRule="auto"/>
        <w:jc w:val="both"/>
        <w:rPr>
          <w:rFonts w:ascii="Times New Roman" w:hAnsi="Times New Roman" w:cs="Times New Roman"/>
        </w:rPr>
      </w:pPr>
    </w:p>
    <w:p w14:paraId="6867E528" w14:textId="77777777" w:rsidR="00474698" w:rsidRPr="001D702F" w:rsidRDefault="00474698" w:rsidP="00ED4EE3">
      <w:pPr>
        <w:pStyle w:val="Padro"/>
        <w:jc w:val="both"/>
        <w:rPr>
          <w:rFonts w:ascii="Times New Roman" w:hAnsi="Times New Roman" w:cs="Times New Roman"/>
        </w:rPr>
      </w:pPr>
    </w:p>
    <w:p w14:paraId="74CF25C4" w14:textId="77777777" w:rsidR="00474698" w:rsidRPr="0068656E" w:rsidRDefault="00474698" w:rsidP="00ED4EE3">
      <w:pPr>
        <w:pStyle w:val="Padro"/>
        <w:jc w:val="both"/>
        <w:rPr>
          <w:rFonts w:ascii="Times New Roman" w:hAnsi="Times New Roman" w:cs="Times New Roman"/>
          <w:color w:val="000000"/>
          <w:lang w:val="en-US"/>
        </w:rPr>
      </w:pPr>
      <w:r w:rsidRPr="0068656E">
        <w:rPr>
          <w:rFonts w:ascii="Times New Roman" w:hAnsi="Times New Roman" w:cs="Times New Roman"/>
          <w:b/>
          <w:bCs/>
          <w:color w:val="000000"/>
          <w:lang w:val="en-US"/>
        </w:rPr>
        <w:lastRenderedPageBreak/>
        <w:t>I</w:t>
      </w:r>
      <w:r w:rsidR="00B558BD" w:rsidRPr="0068656E">
        <w:rPr>
          <w:rFonts w:ascii="Times New Roman" w:hAnsi="Times New Roman" w:cs="Times New Roman"/>
          <w:b/>
          <w:bCs/>
          <w:color w:val="000000"/>
          <w:lang w:val="en-US"/>
        </w:rPr>
        <w:t>ntroduction</w:t>
      </w:r>
      <w:r w:rsidRPr="0068656E">
        <w:rPr>
          <w:rFonts w:ascii="Times New Roman" w:hAnsi="Times New Roman" w:cs="Times New Roman"/>
          <w:color w:val="000000"/>
          <w:lang w:val="en-US"/>
        </w:rPr>
        <w:t xml:space="preserve"> </w:t>
      </w:r>
    </w:p>
    <w:p w14:paraId="49E8C22B" w14:textId="77777777" w:rsidR="00474698" w:rsidRPr="0068656E" w:rsidRDefault="00474698" w:rsidP="00ED4EE3">
      <w:pPr>
        <w:pStyle w:val="Padro"/>
        <w:jc w:val="both"/>
        <w:rPr>
          <w:rFonts w:ascii="Times New Roman" w:hAnsi="Times New Roman" w:cs="Times New Roman"/>
          <w:color w:val="000000"/>
          <w:lang w:val="en-US"/>
        </w:rPr>
      </w:pPr>
    </w:p>
    <w:p w14:paraId="016DD01B" w14:textId="77777777" w:rsidR="00474698" w:rsidRPr="0068656E" w:rsidRDefault="00474698" w:rsidP="00ED4EE3">
      <w:pPr>
        <w:pStyle w:val="Padro"/>
        <w:jc w:val="both"/>
        <w:rPr>
          <w:rFonts w:ascii="Times New Roman" w:hAnsi="Times New Roman" w:cs="Times New Roman"/>
          <w:color w:val="000000"/>
          <w:lang w:val="en-US"/>
        </w:rPr>
      </w:pPr>
      <w:r w:rsidRPr="0068656E">
        <w:rPr>
          <w:rFonts w:ascii="Times New Roman" w:hAnsi="Times New Roman" w:cs="Times New Roman"/>
          <w:color w:val="000000"/>
          <w:lang w:val="en-US"/>
        </w:rPr>
        <w:tab/>
      </w:r>
    </w:p>
    <w:p w14:paraId="6CD53F2C" w14:textId="77777777" w:rsidR="00474698" w:rsidRPr="0068656E" w:rsidRDefault="00474698" w:rsidP="00ED4EE3">
      <w:pPr>
        <w:pStyle w:val="Padro"/>
        <w:spacing w:line="480" w:lineRule="auto"/>
        <w:jc w:val="both"/>
        <w:rPr>
          <w:rFonts w:ascii="Times New Roman" w:hAnsi="Times New Roman" w:cs="Times New Roman"/>
          <w:color w:val="000000"/>
          <w:lang w:val="en-US"/>
        </w:rPr>
      </w:pPr>
      <w:r w:rsidRPr="0068656E">
        <w:rPr>
          <w:rFonts w:ascii="Times New Roman" w:hAnsi="Times New Roman" w:cs="Times New Roman"/>
          <w:color w:val="000000"/>
          <w:lang w:val="en-US"/>
        </w:rPr>
        <w:tab/>
        <w:t>The importance</w:t>
      </w:r>
      <w:r w:rsidR="003C6375" w:rsidRPr="0068656E">
        <w:rPr>
          <w:rFonts w:ascii="Times New Roman" w:hAnsi="Times New Roman" w:cs="Times New Roman"/>
          <w:color w:val="000000"/>
          <w:lang w:val="en-US"/>
        </w:rPr>
        <w:t xml:space="preserve"> of the agricultural sector in B</w:t>
      </w:r>
      <w:r w:rsidR="00100FEA" w:rsidRPr="0068656E">
        <w:rPr>
          <w:rFonts w:ascii="Times New Roman" w:hAnsi="Times New Roman" w:cs="Times New Roman"/>
          <w:color w:val="000000"/>
          <w:lang w:val="en-US"/>
        </w:rPr>
        <w:t>razilian</w:t>
      </w:r>
      <w:r w:rsidRPr="0068656E">
        <w:rPr>
          <w:rFonts w:ascii="Times New Roman" w:hAnsi="Times New Roman" w:cs="Times New Roman"/>
          <w:color w:val="000000"/>
          <w:lang w:val="en-US"/>
        </w:rPr>
        <w:t xml:space="preserve"> economy goes over its participation in the GDP. </w:t>
      </w:r>
      <w:r w:rsidR="003C6375" w:rsidRPr="0068656E">
        <w:rPr>
          <w:rFonts w:ascii="Times New Roman" w:hAnsi="Times New Roman" w:cs="Times New Roman"/>
          <w:color w:val="000000"/>
          <w:lang w:val="en-US"/>
        </w:rPr>
        <w:t>In addi</w:t>
      </w:r>
      <w:r w:rsidRPr="0068656E">
        <w:rPr>
          <w:rFonts w:ascii="Times New Roman" w:hAnsi="Times New Roman" w:cs="Times New Roman"/>
          <w:color w:val="000000"/>
          <w:lang w:val="en-US"/>
        </w:rPr>
        <w:t>tion to having a decisive role under t</w:t>
      </w:r>
      <w:r w:rsidR="003C6375" w:rsidRPr="0068656E">
        <w:rPr>
          <w:rFonts w:ascii="Times New Roman" w:hAnsi="Times New Roman" w:cs="Times New Roman"/>
          <w:color w:val="000000"/>
          <w:lang w:val="en-US"/>
        </w:rPr>
        <w:t>he B</w:t>
      </w:r>
      <w:r w:rsidRPr="0068656E">
        <w:rPr>
          <w:rFonts w:ascii="Times New Roman" w:hAnsi="Times New Roman" w:cs="Times New Roman"/>
          <w:color w:val="000000"/>
          <w:lang w:val="en-US"/>
        </w:rPr>
        <w:t>razilian balance</w:t>
      </w:r>
      <w:bookmarkStart w:id="1" w:name="ouHighlight__67_75TO70_77"/>
      <w:bookmarkEnd w:id="1"/>
      <w:r w:rsidRPr="0068656E">
        <w:rPr>
          <w:rFonts w:ascii="Times New Roman" w:hAnsi="Times New Roman" w:cs="Times New Roman"/>
          <w:color w:val="000000"/>
          <w:lang w:val="en-US"/>
        </w:rPr>
        <w:t xml:space="preserve"> </w:t>
      </w:r>
      <w:r w:rsidR="00100FEA" w:rsidRPr="0068656E">
        <w:rPr>
          <w:rFonts w:ascii="Times New Roman" w:hAnsi="Times New Roman" w:cs="Times New Roman"/>
          <w:color w:val="000000"/>
          <w:lang w:val="en-US"/>
        </w:rPr>
        <w:t>of achieving</w:t>
      </w:r>
      <w:bookmarkStart w:id="2" w:name="ouHighlight__77_92TO79_89"/>
      <w:bookmarkEnd w:id="2"/>
      <w:r w:rsidRPr="0068656E">
        <w:rPr>
          <w:rFonts w:ascii="Times New Roman" w:hAnsi="Times New Roman" w:cs="Times New Roman"/>
          <w:color w:val="000000"/>
          <w:lang w:val="en-US"/>
        </w:rPr>
        <w:t xml:space="preserve"> a long time</w:t>
      </w:r>
      <w:bookmarkStart w:id="3" w:name="ouHighlight__94_103TO91_100"/>
      <w:bookmarkEnd w:id="3"/>
      <w:r w:rsidRPr="0068656E">
        <w:rPr>
          <w:rFonts w:ascii="Times New Roman" w:hAnsi="Times New Roman" w:cs="Times New Roman"/>
          <w:color w:val="000000"/>
          <w:lang w:val="en-US"/>
        </w:rPr>
        <w:t xml:space="preserve"> successive</w:t>
      </w:r>
      <w:bookmarkStart w:id="4" w:name="ouHighlight__105_114TO102_110"/>
      <w:bookmarkEnd w:id="4"/>
      <w:r w:rsidRPr="0068656E">
        <w:rPr>
          <w:rFonts w:ascii="Times New Roman" w:hAnsi="Times New Roman" w:cs="Times New Roman"/>
          <w:color w:val="000000"/>
          <w:lang w:val="en-US"/>
        </w:rPr>
        <w:t xml:space="preserve"> surpluses</w:t>
      </w:r>
      <w:bookmarkStart w:id="5" w:name="ouHighlight__116_124TO112_119"/>
      <w:bookmarkEnd w:id="5"/>
      <w:r w:rsidRPr="0068656E">
        <w:rPr>
          <w:rFonts w:ascii="Times New Roman" w:hAnsi="Times New Roman" w:cs="Times New Roman"/>
          <w:color w:val="000000"/>
          <w:lang w:val="en-US"/>
        </w:rPr>
        <w:t xml:space="preserve"> and thus</w:t>
      </w:r>
      <w:bookmarkStart w:id="6" w:name="ouHighlight__126_137TO121_132"/>
      <w:bookmarkEnd w:id="6"/>
      <w:r w:rsidRPr="0068656E">
        <w:rPr>
          <w:rFonts w:ascii="Times New Roman" w:hAnsi="Times New Roman" w:cs="Times New Roman"/>
          <w:color w:val="000000"/>
          <w:lang w:val="en-US"/>
        </w:rPr>
        <w:t xml:space="preserve"> contributing</w:t>
      </w:r>
      <w:bookmarkStart w:id="7" w:name="ouHighlight__139_142TO134_135"/>
      <w:bookmarkEnd w:id="7"/>
      <w:r w:rsidRPr="0068656E">
        <w:rPr>
          <w:rFonts w:ascii="Times New Roman" w:hAnsi="Times New Roman" w:cs="Times New Roman"/>
          <w:color w:val="000000"/>
          <w:lang w:val="en-US"/>
        </w:rPr>
        <w:t xml:space="preserve"> to</w:t>
      </w:r>
      <w:bookmarkStart w:id="8" w:name="ouHighlight__144_172TO137_159"/>
      <w:bookmarkEnd w:id="8"/>
      <w:r w:rsidRPr="0068656E">
        <w:rPr>
          <w:rFonts w:ascii="Times New Roman" w:hAnsi="Times New Roman" w:cs="Times New Roman"/>
          <w:color w:val="000000"/>
          <w:lang w:val="en-US"/>
        </w:rPr>
        <w:t xml:space="preserve"> macroeconomic stability</w:t>
      </w:r>
      <w:bookmarkStart w:id="9" w:name="noHighlight_0.8743398661415236"/>
      <w:bookmarkEnd w:id="9"/>
      <w:r w:rsidRPr="0068656E">
        <w:rPr>
          <w:rFonts w:ascii="Times New Roman" w:hAnsi="Times New Roman" w:cs="Times New Roman"/>
          <w:color w:val="000000"/>
          <w:lang w:val="en-US"/>
        </w:rPr>
        <w:t>, we</w:t>
      </w:r>
      <w:r w:rsidR="00100FEA" w:rsidRPr="0068656E">
        <w:rPr>
          <w:rFonts w:ascii="Times New Roman" w:hAnsi="Times New Roman" w:cs="Times New Roman"/>
          <w:color w:val="000000"/>
          <w:lang w:val="en-US"/>
        </w:rPr>
        <w:t xml:space="preserve"> emphasize that this sector has</w:t>
      </w:r>
      <w:r w:rsidRPr="0068656E">
        <w:rPr>
          <w:rFonts w:ascii="Times New Roman" w:hAnsi="Times New Roman" w:cs="Times New Roman"/>
          <w:color w:val="000000"/>
          <w:lang w:val="en-US"/>
        </w:rPr>
        <w:t xml:space="preserve"> forward li</w:t>
      </w:r>
      <w:r w:rsidR="00BE6A17" w:rsidRPr="0068656E">
        <w:rPr>
          <w:rFonts w:ascii="Times New Roman" w:hAnsi="Times New Roman" w:cs="Times New Roman"/>
          <w:color w:val="000000"/>
          <w:lang w:val="en-US"/>
        </w:rPr>
        <w:t xml:space="preserve">nkage and backward linkage, in </w:t>
      </w:r>
      <w:r w:rsidRPr="0068656E">
        <w:rPr>
          <w:rFonts w:ascii="Times New Roman" w:hAnsi="Times New Roman" w:cs="Times New Roman"/>
          <w:color w:val="000000"/>
          <w:lang w:val="en-US"/>
        </w:rPr>
        <w:t>i</w:t>
      </w:r>
      <w:r w:rsidR="00BE6A17" w:rsidRPr="0068656E">
        <w:rPr>
          <w:rFonts w:ascii="Times New Roman" w:hAnsi="Times New Roman" w:cs="Times New Roman"/>
          <w:color w:val="000000"/>
          <w:lang w:val="en-US"/>
        </w:rPr>
        <w:t>t</w:t>
      </w:r>
      <w:r w:rsidRPr="0068656E">
        <w:rPr>
          <w:rFonts w:ascii="Times New Roman" w:hAnsi="Times New Roman" w:cs="Times New Roman"/>
          <w:color w:val="000000"/>
          <w:lang w:val="en-US"/>
        </w:rPr>
        <w:t xml:space="preserve">s production, having its relevance better evaluated </w:t>
      </w:r>
      <w:r w:rsidR="005E7A97" w:rsidRPr="0068656E">
        <w:rPr>
          <w:rFonts w:ascii="Times New Roman" w:hAnsi="Times New Roman" w:cs="Times New Roman"/>
          <w:color w:val="000000"/>
          <w:lang w:val="en-US"/>
        </w:rPr>
        <w:t>considering</w:t>
      </w:r>
      <w:r w:rsidRPr="0068656E">
        <w:rPr>
          <w:rFonts w:ascii="Times New Roman" w:hAnsi="Times New Roman" w:cs="Times New Roman"/>
          <w:color w:val="000000"/>
          <w:lang w:val="en-US"/>
        </w:rPr>
        <w:t xml:space="preserve"> those links or, classifying the </w:t>
      </w:r>
      <w:r w:rsidR="005E7A97" w:rsidRPr="0068656E">
        <w:rPr>
          <w:rFonts w:ascii="Times New Roman" w:hAnsi="Times New Roman" w:cs="Times New Roman"/>
          <w:color w:val="000000"/>
          <w:lang w:val="en-US"/>
        </w:rPr>
        <w:t>Agribusiness</w:t>
      </w:r>
      <w:r w:rsidRPr="0068656E">
        <w:rPr>
          <w:rFonts w:ascii="Times New Roman" w:hAnsi="Times New Roman" w:cs="Times New Roman"/>
          <w:color w:val="000000"/>
          <w:lang w:val="en-US"/>
        </w:rPr>
        <w:t xml:space="preserve">. </w:t>
      </w:r>
      <w:r w:rsidR="005E7A97" w:rsidRPr="0068656E">
        <w:rPr>
          <w:rFonts w:ascii="Times New Roman" w:hAnsi="Times New Roman" w:cs="Times New Roman"/>
          <w:color w:val="000000"/>
          <w:lang w:val="en-US"/>
        </w:rPr>
        <w:t>Representing the</w:t>
      </w:r>
      <w:r w:rsidRPr="0068656E">
        <w:rPr>
          <w:rFonts w:ascii="Times New Roman" w:hAnsi="Times New Roman" w:cs="Times New Roman"/>
          <w:color w:val="000000"/>
          <w:lang w:val="en-US"/>
        </w:rPr>
        <w:t xml:space="preserve"> relevance of the sector considering such linkages, Neto and Costa</w:t>
      </w:r>
      <w:r w:rsidR="005E7A97" w:rsidRPr="0068656E">
        <w:rPr>
          <w:rFonts w:ascii="Times New Roman" w:hAnsi="Times New Roman" w:cs="Times New Roman"/>
          <w:color w:val="000000"/>
          <w:lang w:val="en-US"/>
        </w:rPr>
        <w:t xml:space="preserve"> </w:t>
      </w:r>
      <w:r w:rsidRPr="0068656E">
        <w:rPr>
          <w:rFonts w:ascii="Times New Roman" w:hAnsi="Times New Roman" w:cs="Times New Roman"/>
          <w:color w:val="000000"/>
          <w:lang w:val="en-US"/>
        </w:rPr>
        <w:t xml:space="preserve">(2005) show that Gross Domestic Product - GDP in </w:t>
      </w:r>
      <w:r w:rsidR="005E7A97" w:rsidRPr="0068656E">
        <w:rPr>
          <w:rFonts w:ascii="Times New Roman" w:hAnsi="Times New Roman" w:cs="Times New Roman"/>
          <w:color w:val="000000"/>
          <w:lang w:val="en-US"/>
        </w:rPr>
        <w:t>Agribusiness</w:t>
      </w:r>
      <w:r w:rsidRPr="0068656E">
        <w:rPr>
          <w:rFonts w:ascii="Times New Roman" w:hAnsi="Times New Roman" w:cs="Times New Roman"/>
          <w:color w:val="000000"/>
          <w:lang w:val="en-US"/>
        </w:rPr>
        <w:t xml:space="preserve"> (21.2%) of Pernambuco represented three </w:t>
      </w:r>
      <w:bookmarkStart w:id="10" w:name="ouHighlight__2_12TO4_16"/>
      <w:bookmarkEnd w:id="10"/>
      <w:r w:rsidR="005E7A97" w:rsidRPr="0068656E">
        <w:rPr>
          <w:rFonts w:ascii="Times New Roman" w:hAnsi="Times New Roman" w:cs="Times New Roman"/>
          <w:color w:val="000000"/>
          <w:lang w:val="en-US"/>
        </w:rPr>
        <w:t>times the</w:t>
      </w:r>
      <w:r w:rsidRPr="0068656E">
        <w:rPr>
          <w:rFonts w:ascii="Times New Roman" w:hAnsi="Times New Roman" w:cs="Times New Roman"/>
          <w:color w:val="000000"/>
          <w:lang w:val="en-US"/>
        </w:rPr>
        <w:t xml:space="preserve"> value of this</w:t>
      </w:r>
      <w:bookmarkStart w:id="11" w:name="ouHighlight__14_24TO18_26"/>
      <w:bookmarkEnd w:id="11"/>
      <w:r w:rsidRPr="0068656E">
        <w:rPr>
          <w:rFonts w:ascii="Times New Roman" w:hAnsi="Times New Roman" w:cs="Times New Roman"/>
          <w:color w:val="000000"/>
          <w:lang w:val="en-US"/>
        </w:rPr>
        <w:t xml:space="preserve"> statistic</w:t>
      </w:r>
      <w:bookmarkStart w:id="12" w:name="ouHighlight__26_44TO28_44"/>
      <w:bookmarkEnd w:id="12"/>
      <w:r w:rsidRPr="0068656E">
        <w:rPr>
          <w:rFonts w:ascii="Times New Roman" w:hAnsi="Times New Roman" w:cs="Times New Roman"/>
          <w:color w:val="000000"/>
          <w:lang w:val="en-US"/>
        </w:rPr>
        <w:t xml:space="preserve"> when you consider</w:t>
      </w:r>
      <w:bookmarkStart w:id="13" w:name="ouHighlight__46_51TO46_49"/>
      <w:bookmarkEnd w:id="13"/>
      <w:r w:rsidRPr="0068656E">
        <w:rPr>
          <w:rFonts w:ascii="Times New Roman" w:hAnsi="Times New Roman" w:cs="Times New Roman"/>
          <w:color w:val="000000"/>
          <w:lang w:val="en-US"/>
        </w:rPr>
        <w:t xml:space="preserve"> only</w:t>
      </w:r>
      <w:bookmarkStart w:id="14" w:name="ouHighlight__53_53TO51_53"/>
      <w:bookmarkEnd w:id="14"/>
      <w:r w:rsidRPr="0068656E">
        <w:rPr>
          <w:rFonts w:ascii="Times New Roman" w:hAnsi="Times New Roman" w:cs="Times New Roman"/>
          <w:color w:val="000000"/>
          <w:lang w:val="en-US"/>
        </w:rPr>
        <w:t xml:space="preserve"> the</w:t>
      </w:r>
      <w:bookmarkStart w:id="15" w:name="ouHighlight__55_72TO55_73"/>
      <w:bookmarkEnd w:id="15"/>
      <w:r w:rsidRPr="0068656E">
        <w:rPr>
          <w:rFonts w:ascii="Times New Roman" w:hAnsi="Times New Roman" w:cs="Times New Roman"/>
          <w:color w:val="000000"/>
          <w:lang w:val="en-US"/>
        </w:rPr>
        <w:t xml:space="preserve"> agricultural sector</w:t>
      </w:r>
      <w:bookmarkStart w:id="16" w:name="ouHighlight__74_74TO75_75"/>
      <w:bookmarkEnd w:id="16"/>
      <w:r w:rsidRPr="0068656E">
        <w:rPr>
          <w:rFonts w:ascii="Times New Roman" w:hAnsi="Times New Roman" w:cs="Times New Roman"/>
          <w:color w:val="000000"/>
          <w:lang w:val="en-US"/>
        </w:rPr>
        <w:t xml:space="preserve"> (</w:t>
      </w:r>
      <w:bookmarkStart w:id="17" w:name="ouHighlight__75_77TO76_78"/>
      <w:bookmarkEnd w:id="17"/>
      <w:r w:rsidRPr="0068656E">
        <w:rPr>
          <w:rFonts w:ascii="Times New Roman" w:hAnsi="Times New Roman" w:cs="Times New Roman"/>
          <w:color w:val="000000"/>
          <w:lang w:val="en-US"/>
        </w:rPr>
        <w:t>7.7</w:t>
      </w:r>
      <w:bookmarkStart w:id="18" w:name="ouHighlight__78_79TO79_80"/>
      <w:bookmarkEnd w:id="18"/>
      <w:r w:rsidRPr="0068656E">
        <w:rPr>
          <w:rFonts w:ascii="Times New Roman" w:hAnsi="Times New Roman" w:cs="Times New Roman"/>
          <w:color w:val="000000"/>
          <w:lang w:val="en-US"/>
        </w:rPr>
        <w:t>%). Some recent papers as Guilh</w:t>
      </w:r>
      <w:r w:rsidR="005E7A97" w:rsidRPr="0068656E">
        <w:rPr>
          <w:rFonts w:ascii="Times New Roman" w:hAnsi="Times New Roman" w:cs="Times New Roman"/>
          <w:color w:val="000000"/>
          <w:lang w:val="en-US"/>
        </w:rPr>
        <w:t>o</w:t>
      </w:r>
      <w:r w:rsidRPr="0068656E">
        <w:rPr>
          <w:rFonts w:ascii="Times New Roman" w:hAnsi="Times New Roman" w:cs="Times New Roman"/>
          <w:color w:val="000000"/>
          <w:lang w:val="en-US"/>
        </w:rPr>
        <w:t>to et al. (2007) and Cruz</w:t>
      </w:r>
      <w:r w:rsidR="00B05DD4">
        <w:rPr>
          <w:rFonts w:ascii="Times New Roman" w:hAnsi="Times New Roman" w:cs="Times New Roman"/>
          <w:color w:val="000000"/>
          <w:lang w:val="en-US"/>
        </w:rPr>
        <w:t xml:space="preserve"> et al.</w:t>
      </w:r>
      <w:r w:rsidRPr="0068656E">
        <w:rPr>
          <w:rFonts w:ascii="Times New Roman" w:hAnsi="Times New Roman" w:cs="Times New Roman"/>
          <w:color w:val="000000"/>
          <w:lang w:val="en-US"/>
        </w:rPr>
        <w:t xml:space="preserve"> (2009) enlarge the argument on the agricultural sector that shou</w:t>
      </w:r>
      <w:r w:rsidR="005E7A97" w:rsidRPr="0068656E">
        <w:rPr>
          <w:rFonts w:ascii="Times New Roman" w:hAnsi="Times New Roman" w:cs="Times New Roman"/>
          <w:color w:val="000000"/>
          <w:lang w:val="en-US"/>
        </w:rPr>
        <w:t>l</w:t>
      </w:r>
      <w:r w:rsidRPr="0068656E">
        <w:rPr>
          <w:rFonts w:ascii="Times New Roman" w:hAnsi="Times New Roman" w:cs="Times New Roman"/>
          <w:color w:val="000000"/>
          <w:lang w:val="en-US"/>
        </w:rPr>
        <w:t xml:space="preserve">d have its importance measured pending on how to </w:t>
      </w:r>
      <w:r w:rsidR="005E7A97" w:rsidRPr="0068656E">
        <w:rPr>
          <w:rFonts w:ascii="Times New Roman" w:hAnsi="Times New Roman" w:cs="Times New Roman"/>
          <w:color w:val="000000"/>
          <w:lang w:val="en-US"/>
        </w:rPr>
        <w:t>relate</w:t>
      </w:r>
      <w:r w:rsidRPr="0068656E">
        <w:rPr>
          <w:rFonts w:ascii="Times New Roman" w:hAnsi="Times New Roman" w:cs="Times New Roman"/>
          <w:color w:val="000000"/>
          <w:lang w:val="en-US"/>
        </w:rPr>
        <w:t xml:space="preserve"> to othe</w:t>
      </w:r>
      <w:r w:rsidR="005E7A97" w:rsidRPr="0068656E">
        <w:rPr>
          <w:rFonts w:ascii="Times New Roman" w:hAnsi="Times New Roman" w:cs="Times New Roman"/>
          <w:color w:val="000000"/>
          <w:lang w:val="en-US"/>
        </w:rPr>
        <w:t>r</w:t>
      </w:r>
      <w:r w:rsidRPr="0068656E">
        <w:rPr>
          <w:rFonts w:ascii="Times New Roman" w:hAnsi="Times New Roman" w:cs="Times New Roman"/>
          <w:color w:val="000000"/>
          <w:lang w:val="en-US"/>
        </w:rPr>
        <w:t>s economic activities of economy, such as industry foods.</w:t>
      </w:r>
    </w:p>
    <w:p w14:paraId="4BE570FF" w14:textId="77777777" w:rsidR="00474698" w:rsidRPr="0068656E" w:rsidRDefault="00474698" w:rsidP="00ED4EE3">
      <w:pPr>
        <w:spacing w:line="480" w:lineRule="auto"/>
        <w:jc w:val="both"/>
        <w:rPr>
          <w:rFonts w:ascii="Times New Roman" w:hAnsi="Times New Roman" w:cs="Times New Roman"/>
          <w:color w:val="000000"/>
          <w:lang w:val="en-US"/>
        </w:rPr>
      </w:pPr>
      <w:r w:rsidRPr="0068656E">
        <w:rPr>
          <w:rFonts w:ascii="Times New Roman" w:hAnsi="Times New Roman" w:cs="Times New Roman"/>
          <w:color w:val="000000"/>
          <w:lang w:val="en-US"/>
        </w:rPr>
        <w:tab/>
        <w:t xml:space="preserve">Within the </w:t>
      </w:r>
      <w:r w:rsidR="005E7A97" w:rsidRPr="0068656E">
        <w:rPr>
          <w:rFonts w:ascii="Times New Roman" w:hAnsi="Times New Roman" w:cs="Times New Roman"/>
          <w:color w:val="000000"/>
          <w:lang w:val="en-US"/>
        </w:rPr>
        <w:t>Agribusiness</w:t>
      </w:r>
      <w:r w:rsidRPr="0068656E">
        <w:rPr>
          <w:rFonts w:ascii="Times New Roman" w:hAnsi="Times New Roman" w:cs="Times New Roman"/>
          <w:color w:val="000000"/>
          <w:lang w:val="en-US"/>
        </w:rPr>
        <w:t xml:space="preserve">, the sugar and alcohol sector, that includes planting and processing activities sugarcane, </w:t>
      </w:r>
      <w:bookmarkStart w:id="19" w:name="ouHighlight__19_34TO12_26"/>
      <w:bookmarkEnd w:id="19"/>
      <w:r w:rsidRPr="0068656E">
        <w:rPr>
          <w:rFonts w:ascii="Times New Roman" w:hAnsi="Times New Roman" w:cs="Times New Roman"/>
          <w:color w:val="000000"/>
          <w:lang w:val="en-US"/>
        </w:rPr>
        <w:t>is historically</w:t>
      </w:r>
      <w:bookmarkStart w:id="20" w:name="ouHighlight__36_42TO28_37"/>
      <w:bookmarkEnd w:id="20"/>
      <w:r w:rsidRPr="0068656E">
        <w:rPr>
          <w:rFonts w:ascii="Times New Roman" w:hAnsi="Times New Roman" w:cs="Times New Roman"/>
          <w:color w:val="000000"/>
          <w:lang w:val="en-US"/>
        </w:rPr>
        <w:t xml:space="preserve"> one of the</w:t>
      </w:r>
      <w:bookmarkStart w:id="21" w:name="ouHighlight__55_70TO39_52"/>
      <w:bookmarkEnd w:id="21"/>
      <w:r w:rsidRPr="0068656E">
        <w:rPr>
          <w:rFonts w:ascii="Times New Roman" w:hAnsi="Times New Roman" w:cs="Times New Roman"/>
          <w:color w:val="000000"/>
          <w:lang w:val="en-US"/>
        </w:rPr>
        <w:t xml:space="preserve"> most important</w:t>
      </w:r>
      <w:bookmarkStart w:id="22" w:name="ouHighlight__44_53TO54_63"/>
      <w:bookmarkEnd w:id="22"/>
      <w:r w:rsidRPr="0068656E">
        <w:rPr>
          <w:rFonts w:ascii="Times New Roman" w:hAnsi="Times New Roman" w:cs="Times New Roman"/>
          <w:color w:val="000000"/>
          <w:lang w:val="en-US"/>
        </w:rPr>
        <w:t xml:space="preserve"> activities</w:t>
      </w:r>
      <w:bookmarkStart w:id="23" w:name="ouHighlight__72_75TO65_67"/>
      <w:bookmarkEnd w:id="23"/>
      <w:r w:rsidRPr="0068656E">
        <w:rPr>
          <w:rFonts w:ascii="Times New Roman" w:hAnsi="Times New Roman" w:cs="Times New Roman"/>
          <w:color w:val="000000"/>
          <w:lang w:val="en-US"/>
        </w:rPr>
        <w:t xml:space="preserve"> for </w:t>
      </w:r>
      <w:bookmarkStart w:id="24" w:name="noHighlight_0.5241235422086743"/>
      <w:bookmarkEnd w:id="24"/>
      <w:r w:rsidR="005E7A97" w:rsidRPr="0068656E">
        <w:rPr>
          <w:rFonts w:ascii="Times New Roman" w:hAnsi="Times New Roman" w:cs="Times New Roman"/>
          <w:color w:val="000000"/>
          <w:lang w:val="en-US"/>
        </w:rPr>
        <w:t>the Northeast</w:t>
      </w:r>
      <w:r w:rsidRPr="0068656E">
        <w:rPr>
          <w:rFonts w:ascii="Times New Roman" w:hAnsi="Times New Roman" w:cs="Times New Roman"/>
          <w:color w:val="000000"/>
          <w:lang w:val="en-US"/>
        </w:rPr>
        <w:t>.</w:t>
      </w:r>
      <w:bookmarkStart w:id="25" w:name="ouHighlight__10_22TO11_17"/>
      <w:bookmarkEnd w:id="25"/>
      <w:r w:rsidRPr="0068656E">
        <w:rPr>
          <w:rFonts w:ascii="Times New Roman" w:hAnsi="Times New Roman" w:cs="Times New Roman"/>
          <w:color w:val="000000"/>
          <w:lang w:val="en-US"/>
        </w:rPr>
        <w:t xml:space="preserve"> Data on</w:t>
      </w:r>
      <w:bookmarkStart w:id="26" w:name="ouHighlight__24_37TO19_35"/>
      <w:bookmarkEnd w:id="26"/>
      <w:r w:rsidRPr="0068656E">
        <w:rPr>
          <w:rFonts w:ascii="Times New Roman" w:hAnsi="Times New Roman" w:cs="Times New Roman"/>
          <w:color w:val="000000"/>
          <w:lang w:val="en-US"/>
        </w:rPr>
        <w:t xml:space="preserve"> formal employment</w:t>
      </w:r>
      <w:bookmarkStart w:id="27" w:name="ouHighlight__39_49TO37_45"/>
      <w:bookmarkEnd w:id="27"/>
      <w:r w:rsidRPr="0068656E">
        <w:rPr>
          <w:rFonts w:ascii="Times New Roman" w:hAnsi="Times New Roman" w:cs="Times New Roman"/>
          <w:color w:val="000000"/>
          <w:lang w:val="en-US"/>
        </w:rPr>
        <w:t xml:space="preserve"> available</w:t>
      </w:r>
      <w:bookmarkStart w:id="28" w:name="ouHighlight__51_52TO47_52"/>
      <w:bookmarkEnd w:id="28"/>
      <w:r w:rsidRPr="0068656E">
        <w:rPr>
          <w:rFonts w:ascii="Times New Roman" w:hAnsi="Times New Roman" w:cs="Times New Roman"/>
          <w:color w:val="000000"/>
          <w:lang w:val="en-US"/>
        </w:rPr>
        <w:t xml:space="preserve"> in the</w:t>
      </w:r>
      <w:bookmarkStart w:id="29" w:name="ouHighlight__54_66TO54_59"/>
      <w:bookmarkEnd w:id="29"/>
      <w:r w:rsidRPr="0068656E">
        <w:rPr>
          <w:rFonts w:ascii="Times New Roman" w:hAnsi="Times New Roman" w:cs="Times New Roman"/>
          <w:color w:val="000000"/>
          <w:lang w:val="en-US"/>
        </w:rPr>
        <w:t xml:space="preserve"> Annual</w:t>
      </w:r>
      <w:bookmarkStart w:id="30" w:name="ouHighlight__83_89TO61_66"/>
      <w:bookmarkEnd w:id="30"/>
      <w:r w:rsidRPr="0068656E">
        <w:rPr>
          <w:rFonts w:ascii="Times New Roman" w:hAnsi="Times New Roman" w:cs="Times New Roman"/>
          <w:color w:val="000000"/>
          <w:lang w:val="en-US"/>
        </w:rPr>
        <w:t xml:space="preserve"> Social</w:t>
      </w:r>
      <w:bookmarkStart w:id="31" w:name="ouHighlight__68_81TO68_78"/>
      <w:bookmarkEnd w:id="31"/>
      <w:r w:rsidRPr="0068656E">
        <w:rPr>
          <w:rFonts w:ascii="Times New Roman" w:hAnsi="Times New Roman" w:cs="Times New Roman"/>
          <w:color w:val="000000"/>
          <w:lang w:val="en-US"/>
        </w:rPr>
        <w:t xml:space="preserve"> information </w:t>
      </w:r>
      <w:bookmarkStart w:id="32" w:name="ouHighlight__0_0TO0_0"/>
      <w:bookmarkEnd w:id="32"/>
      <w:r w:rsidR="006836C2">
        <w:rPr>
          <w:rFonts w:ascii="Times New Roman" w:hAnsi="Times New Roman" w:cs="Times New Roman"/>
          <w:color w:val="000000"/>
          <w:lang w:val="en-US"/>
        </w:rPr>
        <w:t xml:space="preserve">– </w:t>
      </w:r>
      <w:r w:rsidRPr="0068656E">
        <w:rPr>
          <w:rFonts w:ascii="Times New Roman" w:hAnsi="Times New Roman" w:cs="Times New Roman"/>
          <w:color w:val="000000"/>
          <w:lang w:val="en-US"/>
        </w:rPr>
        <w:t>RAIS</w:t>
      </w:r>
      <w:bookmarkStart w:id="33" w:name="ouHighlight__7_10TO5_5"/>
      <w:bookmarkEnd w:id="33"/>
      <w:r w:rsidR="006836C2">
        <w:rPr>
          <w:rFonts w:ascii="Times New Roman" w:hAnsi="Times New Roman" w:cs="Times New Roman"/>
          <w:color w:val="000000"/>
          <w:lang w:val="en-US"/>
        </w:rPr>
        <w:t xml:space="preserve"> –</w:t>
      </w:r>
      <w:r w:rsidRPr="0068656E">
        <w:rPr>
          <w:rFonts w:ascii="Times New Roman" w:hAnsi="Times New Roman" w:cs="Times New Roman"/>
          <w:color w:val="000000"/>
          <w:lang w:val="en-US"/>
        </w:rPr>
        <w:t xml:space="preserve"> Ministry</w:t>
      </w:r>
      <w:bookmarkStart w:id="34" w:name="ouHighlight__23_43TO15_37"/>
      <w:bookmarkEnd w:id="34"/>
      <w:r w:rsidR="006836C2">
        <w:rPr>
          <w:rFonts w:ascii="Times New Roman" w:hAnsi="Times New Roman" w:cs="Times New Roman"/>
          <w:color w:val="000000"/>
          <w:lang w:val="en-US"/>
        </w:rPr>
        <w:t xml:space="preserve"> </w:t>
      </w:r>
      <w:r w:rsidRPr="0068656E">
        <w:rPr>
          <w:rFonts w:ascii="Times New Roman" w:hAnsi="Times New Roman" w:cs="Times New Roman"/>
          <w:color w:val="000000"/>
          <w:lang w:val="en-US"/>
        </w:rPr>
        <w:t>of labor and employment</w:t>
      </w:r>
      <w:bookmarkStart w:id="35" w:name="ouHighlight__45_45TO38_38"/>
      <w:bookmarkEnd w:id="35"/>
      <w:r w:rsidR="006836C2">
        <w:rPr>
          <w:rFonts w:ascii="Times New Roman" w:hAnsi="Times New Roman" w:cs="Times New Roman"/>
          <w:color w:val="000000"/>
          <w:lang w:val="en-US"/>
        </w:rPr>
        <w:t xml:space="preserve"> –</w:t>
      </w:r>
      <w:bookmarkStart w:id="36" w:name="ouHighlight__47_49TO39_41"/>
      <w:bookmarkEnd w:id="36"/>
      <w:r w:rsidR="006836C2">
        <w:rPr>
          <w:rFonts w:ascii="Times New Roman" w:hAnsi="Times New Roman" w:cs="Times New Roman"/>
          <w:color w:val="000000"/>
          <w:lang w:val="en-US"/>
        </w:rPr>
        <w:t xml:space="preserve"> </w:t>
      </w:r>
      <w:r w:rsidRPr="0068656E">
        <w:rPr>
          <w:rFonts w:ascii="Times New Roman" w:hAnsi="Times New Roman" w:cs="Times New Roman"/>
          <w:color w:val="000000"/>
          <w:lang w:val="en-US"/>
        </w:rPr>
        <w:t>MTE</w:t>
      </w:r>
      <w:bookmarkStart w:id="37" w:name="noHighlight_0.16908476205970047"/>
      <w:bookmarkEnd w:id="37"/>
      <w:r w:rsidRPr="0068656E">
        <w:rPr>
          <w:rFonts w:ascii="Times New Roman" w:hAnsi="Times New Roman" w:cs="Times New Roman"/>
          <w:color w:val="000000"/>
          <w:lang w:val="en-US"/>
        </w:rPr>
        <w:t>,</w:t>
      </w:r>
      <w:bookmarkStart w:id="38" w:name="ouHighlight__52_55TO44_46"/>
      <w:bookmarkEnd w:id="38"/>
      <w:r w:rsidRPr="0068656E">
        <w:rPr>
          <w:rFonts w:ascii="Times New Roman" w:hAnsi="Times New Roman" w:cs="Times New Roman"/>
          <w:color w:val="000000"/>
          <w:lang w:val="en-US"/>
        </w:rPr>
        <w:t xml:space="preserve"> for</w:t>
      </w:r>
      <w:bookmarkStart w:id="39" w:name="ouHighlight__57_57TO48_50"/>
      <w:bookmarkEnd w:id="39"/>
      <w:r w:rsidRPr="0068656E">
        <w:rPr>
          <w:rFonts w:ascii="Times New Roman" w:hAnsi="Times New Roman" w:cs="Times New Roman"/>
          <w:color w:val="000000"/>
          <w:lang w:val="en-US"/>
        </w:rPr>
        <w:t xml:space="preserve"> the</w:t>
      </w:r>
      <w:bookmarkStart w:id="40" w:name="ouHighlight__59_61TO52_55"/>
      <w:bookmarkEnd w:id="40"/>
      <w:r w:rsidRPr="0068656E">
        <w:rPr>
          <w:rFonts w:ascii="Times New Roman" w:hAnsi="Times New Roman" w:cs="Times New Roman"/>
          <w:color w:val="000000"/>
          <w:lang w:val="en-US"/>
        </w:rPr>
        <w:t xml:space="preserve"> year</w:t>
      </w:r>
      <w:bookmarkStart w:id="41" w:name="ouHighlight__63_64TO57_58"/>
      <w:bookmarkEnd w:id="41"/>
      <w:r w:rsidRPr="0068656E">
        <w:rPr>
          <w:rFonts w:ascii="Times New Roman" w:hAnsi="Times New Roman" w:cs="Times New Roman"/>
          <w:color w:val="000000"/>
          <w:lang w:val="en-US"/>
        </w:rPr>
        <w:t xml:space="preserve"> of</w:t>
      </w:r>
      <w:bookmarkStart w:id="42" w:name="ouHighlight__66_72TO60_63"/>
      <w:bookmarkEnd w:id="42"/>
      <w:r w:rsidRPr="0068656E">
        <w:rPr>
          <w:rFonts w:ascii="Times New Roman" w:hAnsi="Times New Roman" w:cs="Times New Roman"/>
          <w:color w:val="000000"/>
          <w:lang w:val="en-US"/>
        </w:rPr>
        <w:t xml:space="preserve"> 2013</w:t>
      </w:r>
      <w:bookmarkStart w:id="43" w:name="noHighlight_0.48910500303074045"/>
      <w:bookmarkEnd w:id="43"/>
      <w:r w:rsidRPr="0068656E">
        <w:rPr>
          <w:rFonts w:ascii="Times New Roman" w:hAnsi="Times New Roman" w:cs="Times New Roman"/>
          <w:color w:val="000000"/>
          <w:lang w:val="en-US"/>
        </w:rPr>
        <w:t>,</w:t>
      </w:r>
      <w:bookmarkStart w:id="44" w:name="ouHighlight__75_85TO66_74"/>
      <w:bookmarkEnd w:id="44"/>
      <w:r w:rsidRPr="0068656E">
        <w:rPr>
          <w:rFonts w:ascii="Times New Roman" w:hAnsi="Times New Roman" w:cs="Times New Roman"/>
          <w:color w:val="000000"/>
          <w:lang w:val="en-US"/>
        </w:rPr>
        <w:t xml:space="preserve"> show that</w:t>
      </w:r>
      <w:bookmarkStart w:id="45" w:name="ouHighlight__87_87TO76_78"/>
      <w:bookmarkEnd w:id="45"/>
      <w:r w:rsidRPr="0068656E">
        <w:rPr>
          <w:rFonts w:ascii="Times New Roman" w:hAnsi="Times New Roman" w:cs="Times New Roman"/>
          <w:color w:val="000000"/>
          <w:lang w:val="en-US"/>
        </w:rPr>
        <w:t xml:space="preserve"> the</w:t>
      </w:r>
      <w:bookmarkStart w:id="46" w:name="ouHighlight__0_8TO0_8"/>
      <w:bookmarkEnd w:id="46"/>
      <w:r w:rsidRPr="0068656E">
        <w:rPr>
          <w:rFonts w:ascii="Times New Roman" w:hAnsi="Times New Roman" w:cs="Times New Roman"/>
          <w:color w:val="000000"/>
          <w:lang w:val="en-US"/>
        </w:rPr>
        <w:t xml:space="preserve"> number of</w:t>
      </w:r>
      <w:bookmarkStart w:id="47" w:name="ouHighlight__24_30TO10_15"/>
      <w:bookmarkEnd w:id="47"/>
      <w:r w:rsidRPr="0068656E">
        <w:rPr>
          <w:rFonts w:ascii="Times New Roman" w:hAnsi="Times New Roman" w:cs="Times New Roman"/>
          <w:color w:val="000000"/>
          <w:lang w:val="en-US"/>
        </w:rPr>
        <w:t xml:space="preserve"> formal</w:t>
      </w:r>
      <w:bookmarkStart w:id="48" w:name="ouHighlight__10_22TO17_23"/>
      <w:bookmarkEnd w:id="48"/>
      <w:r w:rsidRPr="0068656E">
        <w:rPr>
          <w:rFonts w:ascii="Times New Roman" w:hAnsi="Times New Roman" w:cs="Times New Roman"/>
          <w:color w:val="000000"/>
          <w:lang w:val="en-US"/>
        </w:rPr>
        <w:t xml:space="preserve"> workers</w:t>
      </w:r>
      <w:bookmarkStart w:id="49" w:name="ouHighlight__32_33TO25_30"/>
      <w:bookmarkEnd w:id="49"/>
      <w:r w:rsidRPr="0068656E">
        <w:rPr>
          <w:rFonts w:ascii="Times New Roman" w:hAnsi="Times New Roman" w:cs="Times New Roman"/>
          <w:color w:val="000000"/>
          <w:lang w:val="en-US"/>
        </w:rPr>
        <w:t xml:space="preserve"> in the</w:t>
      </w:r>
      <w:bookmarkStart w:id="50" w:name="ouHighlight__43_59TO32_41"/>
      <w:bookmarkEnd w:id="50"/>
      <w:r w:rsidRPr="0068656E">
        <w:rPr>
          <w:rFonts w:ascii="Times New Roman" w:hAnsi="Times New Roman" w:cs="Times New Roman"/>
          <w:color w:val="000000"/>
          <w:lang w:val="en-US"/>
        </w:rPr>
        <w:t xml:space="preserve"> sugarcane</w:t>
      </w:r>
      <w:bookmarkStart w:id="51" w:name="ouHighlight__35_41TO43_53"/>
      <w:bookmarkEnd w:id="51"/>
      <w:r w:rsidRPr="0068656E">
        <w:rPr>
          <w:rFonts w:ascii="Times New Roman" w:hAnsi="Times New Roman" w:cs="Times New Roman"/>
          <w:color w:val="000000"/>
          <w:lang w:val="en-US"/>
        </w:rPr>
        <w:t xml:space="preserve"> cultivation</w:t>
      </w:r>
      <w:bookmarkStart w:id="52" w:name="ouHighlight__61_69TO55_60"/>
      <w:bookmarkEnd w:id="52"/>
      <w:r w:rsidRPr="0068656E">
        <w:rPr>
          <w:rFonts w:ascii="Times New Roman" w:hAnsi="Times New Roman" w:cs="Times New Roman"/>
          <w:color w:val="000000"/>
          <w:lang w:val="en-US"/>
        </w:rPr>
        <w:t xml:space="preserve"> totals</w:t>
      </w:r>
      <w:bookmarkStart w:id="53" w:name="ouHighlight__71_77TO62_70"/>
      <w:bookmarkEnd w:id="53"/>
      <w:r w:rsidRPr="0068656E">
        <w:rPr>
          <w:rFonts w:ascii="Times New Roman" w:hAnsi="Times New Roman" w:cs="Times New Roman"/>
          <w:color w:val="000000"/>
          <w:lang w:val="en-US"/>
        </w:rPr>
        <w:t xml:space="preserve"> 1,595,230</w:t>
      </w:r>
      <w:bookmarkStart w:id="54" w:name="ouHighlight__79_86TO72_75"/>
      <w:bookmarkEnd w:id="54"/>
      <w:r w:rsidRPr="0068656E">
        <w:rPr>
          <w:rFonts w:ascii="Times New Roman" w:hAnsi="Times New Roman" w:cs="Times New Roman"/>
          <w:color w:val="000000"/>
          <w:lang w:val="en-US"/>
        </w:rPr>
        <w:t xml:space="preserve"> jobs in the Northeast.</w:t>
      </w:r>
      <w:bookmarkStart w:id="55" w:name="ouHighlight__13_23TO18_28"/>
      <w:bookmarkEnd w:id="55"/>
      <w:r w:rsidRPr="0068656E">
        <w:rPr>
          <w:rFonts w:ascii="Times New Roman" w:hAnsi="Times New Roman" w:cs="Times New Roman"/>
          <w:color w:val="000000"/>
          <w:lang w:val="en-US"/>
        </w:rPr>
        <w:t xml:space="preserve"> This number is equivalent to</w:t>
      </w:r>
      <w:bookmarkStart w:id="56" w:name="ouHighlight__34_48TO47_59"/>
      <w:bookmarkEnd w:id="56"/>
      <w:r w:rsidRPr="0068656E">
        <w:rPr>
          <w:rFonts w:ascii="Times New Roman" w:hAnsi="Times New Roman" w:cs="Times New Roman"/>
          <w:color w:val="000000"/>
          <w:lang w:val="en-US"/>
        </w:rPr>
        <w:t xml:space="preserve"> approximately</w:t>
      </w:r>
      <w:bookmarkStart w:id="57" w:name="ouHighlight__50_56TO61_64"/>
      <w:bookmarkEnd w:id="57"/>
      <w:r w:rsidRPr="0068656E">
        <w:rPr>
          <w:rFonts w:ascii="Times New Roman" w:hAnsi="Times New Roman" w:cs="Times New Roman"/>
          <w:color w:val="000000"/>
          <w:lang w:val="en-US"/>
        </w:rPr>
        <w:t xml:space="preserve"> 25.5</w:t>
      </w:r>
      <w:bookmarkStart w:id="58" w:name="ouHighlight__57_69TO65_72"/>
      <w:bookmarkEnd w:id="58"/>
      <w:r w:rsidRPr="0068656E">
        <w:rPr>
          <w:rFonts w:ascii="Times New Roman" w:hAnsi="Times New Roman" w:cs="Times New Roman"/>
          <w:color w:val="000000"/>
          <w:lang w:val="en-US"/>
        </w:rPr>
        <w:t>% of all</w:t>
      </w:r>
      <w:bookmarkStart w:id="59" w:name="ouHighlight__71_86TO74_84"/>
      <w:bookmarkEnd w:id="59"/>
      <w:r w:rsidRPr="0068656E">
        <w:rPr>
          <w:rFonts w:ascii="Times New Roman" w:hAnsi="Times New Roman" w:cs="Times New Roman"/>
          <w:color w:val="000000"/>
          <w:lang w:val="en-US"/>
        </w:rPr>
        <w:t xml:space="preserve"> formal </w:t>
      </w:r>
      <w:bookmarkStart w:id="60" w:name="ouHighlight__0_19TO0_22"/>
      <w:bookmarkEnd w:id="60"/>
      <w:r w:rsidRPr="0068656E">
        <w:rPr>
          <w:rFonts w:ascii="Times New Roman" w:hAnsi="Times New Roman" w:cs="Times New Roman"/>
          <w:color w:val="000000"/>
          <w:lang w:val="en-US"/>
        </w:rPr>
        <w:t>agricultural activities jobs in the region (</w:t>
      </w:r>
      <w:bookmarkStart w:id="61" w:name="ouHighlight__32_38TO39_47"/>
      <w:bookmarkEnd w:id="61"/>
      <w:r w:rsidRPr="0068656E">
        <w:rPr>
          <w:rFonts w:ascii="Times New Roman" w:hAnsi="Times New Roman" w:cs="Times New Roman"/>
          <w:color w:val="000000"/>
          <w:lang w:val="en-US"/>
        </w:rPr>
        <w:t>6,245,613</w:t>
      </w:r>
      <w:bookmarkStart w:id="62" w:name="ouHighlight__40_50TO49_52"/>
      <w:bookmarkEnd w:id="62"/>
      <w:r w:rsidRPr="0068656E">
        <w:rPr>
          <w:rFonts w:ascii="Times New Roman" w:hAnsi="Times New Roman" w:cs="Times New Roman"/>
          <w:color w:val="000000"/>
          <w:lang w:val="en-US"/>
        </w:rPr>
        <w:t xml:space="preserve"> jobs</w:t>
      </w:r>
      <w:bookmarkStart w:id="63" w:name="ouHighlight__51_51TO53_53"/>
      <w:bookmarkEnd w:id="63"/>
      <w:r w:rsidRPr="0068656E">
        <w:rPr>
          <w:rFonts w:ascii="Times New Roman" w:hAnsi="Times New Roman" w:cs="Times New Roman"/>
          <w:color w:val="000000"/>
          <w:lang w:val="en-US"/>
        </w:rPr>
        <w:t>)</w:t>
      </w:r>
      <w:bookmarkStart w:id="64" w:name="noHighlight_0.35147964582797586"/>
      <w:bookmarkEnd w:id="64"/>
      <w:r w:rsidR="004715AF" w:rsidRPr="0068656E">
        <w:rPr>
          <w:rFonts w:ascii="Times New Roman" w:hAnsi="Times New Roman" w:cs="Times New Roman"/>
          <w:color w:val="000000"/>
          <w:lang w:val="en-US"/>
        </w:rPr>
        <w:t xml:space="preserve">. </w:t>
      </w:r>
    </w:p>
    <w:p w14:paraId="3C2CCF50" w14:textId="77777777" w:rsidR="00061B68" w:rsidRPr="0068656E" w:rsidRDefault="00474698"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color w:val="000000"/>
          <w:lang w:val="en-US"/>
        </w:rPr>
        <w:t>It is worth mentioning that in Brazil, the participation formal employment i</w:t>
      </w:r>
      <w:r w:rsidR="0067446C">
        <w:rPr>
          <w:rFonts w:ascii="Times New Roman" w:hAnsi="Times New Roman" w:cs="Times New Roman"/>
          <w:color w:val="000000"/>
          <w:lang w:val="en-US"/>
        </w:rPr>
        <w:t>n the sugar cane planting is 22.</w:t>
      </w:r>
      <w:r w:rsidRPr="0068656E">
        <w:rPr>
          <w:rFonts w:ascii="Times New Roman" w:hAnsi="Times New Roman" w:cs="Times New Roman"/>
          <w:color w:val="000000"/>
          <w:lang w:val="en-US"/>
        </w:rPr>
        <w:t xml:space="preserve">3%. In other words, in the Northeast, the formal jobs generation on the sugarcane cultivation was higher when compared to the </w:t>
      </w:r>
      <w:r w:rsidR="005E7A97" w:rsidRPr="0068656E">
        <w:rPr>
          <w:rFonts w:ascii="Times New Roman" w:hAnsi="Times New Roman" w:cs="Times New Roman"/>
          <w:color w:val="000000"/>
          <w:lang w:val="en-US"/>
        </w:rPr>
        <w:t>national</w:t>
      </w:r>
      <w:r w:rsidRPr="0068656E">
        <w:rPr>
          <w:rFonts w:ascii="Times New Roman" w:hAnsi="Times New Roman" w:cs="Times New Roman"/>
          <w:color w:val="000000"/>
          <w:lang w:val="en-US"/>
        </w:rPr>
        <w:t xml:space="preserve"> statistics. Still according to RAIS, the number of places involved on the sugar-ethanol activities in Brazil and North</w:t>
      </w:r>
      <w:r w:rsidR="00924873">
        <w:rPr>
          <w:rFonts w:ascii="Times New Roman" w:hAnsi="Times New Roman" w:cs="Times New Roman"/>
          <w:color w:val="000000"/>
          <w:lang w:val="en-US"/>
        </w:rPr>
        <w:t>east was 10,192 and 1,</w:t>
      </w:r>
      <w:r w:rsidR="004715AF" w:rsidRPr="0068656E">
        <w:rPr>
          <w:rFonts w:ascii="Times New Roman" w:hAnsi="Times New Roman" w:cs="Times New Roman"/>
          <w:color w:val="000000"/>
          <w:lang w:val="en-US"/>
        </w:rPr>
        <w:t>657, each.</w:t>
      </w:r>
    </w:p>
    <w:p w14:paraId="1E1A0063" w14:textId="77777777" w:rsidR="00474698" w:rsidRPr="0068656E" w:rsidRDefault="00474698"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lastRenderedPageBreak/>
        <w:t>Therefore, the region used to concentrat</w:t>
      </w:r>
      <w:r w:rsidR="00481410" w:rsidRPr="0068656E">
        <w:rPr>
          <w:rFonts w:ascii="Times New Roman" w:hAnsi="Times New Roman" w:cs="Times New Roman"/>
          <w:lang w:val="en-US"/>
        </w:rPr>
        <w:t>e 16.2% of all establishments in the B</w:t>
      </w:r>
      <w:r w:rsidRPr="0068656E">
        <w:rPr>
          <w:rFonts w:ascii="Times New Roman" w:hAnsi="Times New Roman" w:cs="Times New Roman"/>
          <w:lang w:val="en-US"/>
        </w:rPr>
        <w:t>razilian agro-industrial sugar-ethanol</w:t>
      </w:r>
      <w:r w:rsidR="00481410" w:rsidRPr="0068656E">
        <w:rPr>
          <w:rFonts w:ascii="Times New Roman" w:hAnsi="Times New Roman" w:cs="Times New Roman"/>
          <w:lang w:val="en-US"/>
        </w:rPr>
        <w:t xml:space="preserve"> </w:t>
      </w:r>
      <w:r w:rsidRPr="0068656E">
        <w:rPr>
          <w:rFonts w:ascii="Times New Roman" w:hAnsi="Times New Roman" w:cs="Times New Roman"/>
          <w:lang w:val="en-US"/>
        </w:rPr>
        <w:t>complex.</w:t>
      </w:r>
      <w:r w:rsidR="00481410" w:rsidRPr="0068656E">
        <w:rPr>
          <w:rFonts w:ascii="Times New Roman" w:hAnsi="Times New Roman" w:cs="Times New Roman"/>
          <w:lang w:val="en-US"/>
        </w:rPr>
        <w:t xml:space="preserve"> Still in this item, data from the </w:t>
      </w:r>
      <w:r w:rsidR="00481410" w:rsidRPr="0068656E">
        <w:rPr>
          <w:rFonts w:ascii="Times New Roman" w:hAnsi="Times New Roman" w:cs="Times New Roman"/>
          <w:i/>
          <w:iCs/>
          <w:lang w:val="en-US"/>
        </w:rPr>
        <w:t>Matriz de Insumo</w:t>
      </w:r>
      <w:r w:rsidR="00941139">
        <w:rPr>
          <w:rFonts w:ascii="Times New Roman" w:hAnsi="Times New Roman" w:cs="Times New Roman"/>
          <w:i/>
          <w:iCs/>
          <w:lang w:val="en-US"/>
        </w:rPr>
        <w:t xml:space="preserve"> </w:t>
      </w:r>
      <w:r w:rsidR="00481410" w:rsidRPr="0068656E">
        <w:rPr>
          <w:rFonts w:ascii="Times New Roman" w:hAnsi="Times New Roman" w:cs="Times New Roman"/>
          <w:i/>
          <w:iCs/>
          <w:lang w:val="en-US"/>
        </w:rPr>
        <w:t>Produto do Nordeste do BNB</w:t>
      </w:r>
      <w:r w:rsidR="00481410" w:rsidRPr="0068656E">
        <w:rPr>
          <w:rFonts w:ascii="Times New Roman" w:hAnsi="Times New Roman" w:cs="Times New Roman"/>
          <w:iCs/>
          <w:lang w:val="en-US"/>
        </w:rPr>
        <w:t xml:space="preserve"> (2010) revealed that only the farming activity of sugarcane had the second best multiplier of jobs</w:t>
      </w:r>
      <w:r w:rsidR="004715AF" w:rsidRPr="0068656E">
        <w:rPr>
          <w:rFonts w:ascii="Times New Roman" w:hAnsi="Times New Roman" w:cs="Times New Roman"/>
          <w:iCs/>
          <w:lang w:val="en-US"/>
        </w:rPr>
        <w:t xml:space="preserve"> in Northeast, of 660 jobs order for each variation of one million </w:t>
      </w:r>
      <w:r w:rsidR="004715AF" w:rsidRPr="0068656E">
        <w:rPr>
          <w:rFonts w:ascii="Times New Roman" w:hAnsi="Times New Roman" w:cs="Times New Roman"/>
          <w:i/>
          <w:iCs/>
          <w:lang w:val="en-US"/>
        </w:rPr>
        <w:t>reais</w:t>
      </w:r>
      <w:r w:rsidR="004715AF" w:rsidRPr="0068656E">
        <w:rPr>
          <w:rFonts w:ascii="Times New Roman" w:hAnsi="Times New Roman" w:cs="Times New Roman"/>
          <w:iCs/>
          <w:lang w:val="en-US"/>
        </w:rPr>
        <w:t xml:space="preserve"> in the final demand of the activity in which 94 % of the jobs are generated within the region</w:t>
      </w:r>
    </w:p>
    <w:p w14:paraId="668DA503" w14:textId="77777777" w:rsidR="00481410" w:rsidRPr="0068656E" w:rsidRDefault="00B558BD"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The results presented above show the dimensions and importance of this sector to the economy of the Northeast. Furthermore, from the data, it is possible to infer that the sector contributes to the maintenance of employment levels and income, even in the absence of prospects of structural changes in large-scale in the local economic that result in new work opportunities for those employed in this activity. In order to investigate other economic dimensions of this sector, this works aims at computing the measure of contribution to the GDP of Northeast and Brazil from sugarcane agribusiness.</w:t>
      </w:r>
    </w:p>
    <w:p w14:paraId="63005621" w14:textId="77777777" w:rsidR="007E7A66" w:rsidRPr="0068656E" w:rsidRDefault="00481410"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In other words, the study attempts to dimension GDP of the sugar and alcohol sector in brazil and the Northeast region, making use of input-output matrix of the region according to the data provided by the Bank of Northeast Brazil (BNB), considering, therefore, the linkages that the activity have with the other sectors of the national and regional economy.</w:t>
      </w:r>
    </w:p>
    <w:p w14:paraId="1EF51B5D" w14:textId="77777777" w:rsidR="00F35960" w:rsidRDefault="007E7A66"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This work is divided into five section besides the introduction. The following section concerns the national literature review on the quantification of agribusiness. In the section 3, it is presented a brief summary related to the definition of the agribusiness term as well as a review on theories of analysis of</w:t>
      </w:r>
      <w:r w:rsidR="00481410" w:rsidRPr="0068656E">
        <w:rPr>
          <w:rFonts w:ascii="Times New Roman" w:hAnsi="Times New Roman" w:cs="Times New Roman"/>
          <w:lang w:val="en-US"/>
        </w:rPr>
        <w:t xml:space="preserve"> input-output matrix. The next section presents the definition for each one of the aggregates and methodology in the sense of quantification. The fifth section presents and discusses the results achieved. The last section concerns the final rema</w:t>
      </w:r>
      <w:r w:rsidR="004715AF" w:rsidRPr="0068656E">
        <w:rPr>
          <w:rFonts w:ascii="Times New Roman" w:hAnsi="Times New Roman" w:cs="Times New Roman"/>
          <w:lang w:val="en-US"/>
        </w:rPr>
        <w:t>r</w:t>
      </w:r>
      <w:r w:rsidR="00481410" w:rsidRPr="0068656E">
        <w:rPr>
          <w:rFonts w:ascii="Times New Roman" w:hAnsi="Times New Roman" w:cs="Times New Roman"/>
          <w:lang w:val="en-US"/>
        </w:rPr>
        <w:t>ks.</w:t>
      </w:r>
    </w:p>
    <w:p w14:paraId="3C277D6D" w14:textId="77777777" w:rsidR="0068656E" w:rsidRPr="0068656E" w:rsidRDefault="0068656E" w:rsidP="00ED4EE3">
      <w:pPr>
        <w:ind w:firstLine="720"/>
        <w:jc w:val="both"/>
        <w:rPr>
          <w:rFonts w:ascii="Times New Roman" w:hAnsi="Times New Roman" w:cs="Times New Roman"/>
          <w:b/>
          <w:lang w:val="en-US"/>
        </w:rPr>
      </w:pPr>
    </w:p>
    <w:p w14:paraId="520392BE" w14:textId="77777777" w:rsidR="00170AC7" w:rsidRPr="0068656E" w:rsidRDefault="00170AC7" w:rsidP="00ED4EE3">
      <w:pPr>
        <w:jc w:val="both"/>
        <w:rPr>
          <w:rFonts w:ascii="Times New Roman" w:hAnsi="Times New Roman" w:cs="Times New Roman"/>
          <w:b/>
          <w:lang w:val="en-US"/>
        </w:rPr>
      </w:pPr>
      <w:r w:rsidRPr="0068656E">
        <w:rPr>
          <w:rFonts w:ascii="Times New Roman" w:hAnsi="Times New Roman" w:cs="Times New Roman"/>
          <w:b/>
          <w:lang w:val="en-US"/>
        </w:rPr>
        <w:t>2 Literature review</w:t>
      </w:r>
    </w:p>
    <w:p w14:paraId="6E215C30" w14:textId="77777777" w:rsidR="00170AC7" w:rsidRPr="0068656E" w:rsidRDefault="00170AC7" w:rsidP="00ED4EE3">
      <w:pPr>
        <w:jc w:val="both"/>
        <w:rPr>
          <w:rFonts w:ascii="Times New Roman" w:hAnsi="Times New Roman" w:cs="Times New Roman"/>
          <w:color w:val="000000"/>
          <w:lang w:val="en-US"/>
        </w:rPr>
      </w:pPr>
    </w:p>
    <w:p w14:paraId="10DA7D20" w14:textId="77777777" w:rsidR="00170AC7" w:rsidRPr="0068656E" w:rsidRDefault="00F44D09"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color w:val="000000"/>
          <w:lang w:val="en-US"/>
        </w:rPr>
        <w:t>T</w:t>
      </w:r>
      <w:r w:rsidR="00170AC7" w:rsidRPr="0068656E">
        <w:rPr>
          <w:rFonts w:ascii="Times New Roman" w:hAnsi="Times New Roman" w:cs="Times New Roman"/>
          <w:color w:val="000000"/>
          <w:lang w:val="en-US"/>
        </w:rPr>
        <w:t xml:space="preserve">he </w:t>
      </w:r>
      <w:r w:rsidRPr="0068656E">
        <w:rPr>
          <w:rFonts w:ascii="Times New Roman" w:hAnsi="Times New Roman" w:cs="Times New Roman"/>
          <w:color w:val="000000"/>
          <w:lang w:val="en-US"/>
        </w:rPr>
        <w:t xml:space="preserve">literature on </w:t>
      </w:r>
      <w:r w:rsidR="00170AC7" w:rsidRPr="0068656E">
        <w:rPr>
          <w:rFonts w:ascii="Times New Roman" w:hAnsi="Times New Roman" w:cs="Times New Roman"/>
          <w:color w:val="000000"/>
          <w:lang w:val="en-US"/>
        </w:rPr>
        <w:t>dimensi</w:t>
      </w:r>
      <w:r w:rsidRPr="0068656E">
        <w:rPr>
          <w:rFonts w:ascii="Times New Roman" w:hAnsi="Times New Roman" w:cs="Times New Roman"/>
          <w:color w:val="000000"/>
          <w:lang w:val="en-US"/>
        </w:rPr>
        <w:t xml:space="preserve">oning </w:t>
      </w:r>
      <w:r w:rsidR="00170AC7" w:rsidRPr="0068656E">
        <w:rPr>
          <w:rFonts w:ascii="Times New Roman" w:hAnsi="Times New Roman" w:cs="Times New Roman"/>
          <w:color w:val="000000"/>
          <w:lang w:val="en-US"/>
        </w:rPr>
        <w:t xml:space="preserve">GDP </w:t>
      </w:r>
      <w:r w:rsidRPr="0068656E">
        <w:rPr>
          <w:rFonts w:ascii="Times New Roman" w:hAnsi="Times New Roman" w:cs="Times New Roman"/>
          <w:color w:val="000000"/>
          <w:lang w:val="en-US"/>
        </w:rPr>
        <w:t>in</w:t>
      </w:r>
      <w:r w:rsidR="00170AC7" w:rsidRPr="0068656E">
        <w:rPr>
          <w:rFonts w:ascii="Times New Roman" w:hAnsi="Times New Roman" w:cs="Times New Roman"/>
          <w:color w:val="000000"/>
          <w:lang w:val="en-US"/>
        </w:rPr>
        <w:t xml:space="preserve"> agribusiness</w:t>
      </w:r>
      <w:r w:rsidRPr="0068656E">
        <w:rPr>
          <w:rFonts w:ascii="Times New Roman" w:hAnsi="Times New Roman" w:cs="Times New Roman"/>
          <w:color w:val="000000"/>
          <w:lang w:val="en-US"/>
        </w:rPr>
        <w:t xml:space="preserve"> attempts to quantify the importance of </w:t>
      </w:r>
      <w:r w:rsidR="00D521B4" w:rsidRPr="0068656E">
        <w:rPr>
          <w:rFonts w:ascii="Times New Roman" w:hAnsi="Times New Roman" w:cs="Times New Roman"/>
          <w:color w:val="000000"/>
          <w:lang w:val="en-US"/>
        </w:rPr>
        <w:t xml:space="preserve">the </w:t>
      </w:r>
      <w:r w:rsidRPr="0068656E">
        <w:rPr>
          <w:rFonts w:ascii="Times New Roman" w:hAnsi="Times New Roman" w:cs="Times New Roman"/>
          <w:color w:val="000000"/>
          <w:lang w:val="en-US"/>
        </w:rPr>
        <w:t>agro industrial</w:t>
      </w:r>
      <w:r w:rsidR="00D521B4" w:rsidRPr="0068656E">
        <w:rPr>
          <w:rFonts w:ascii="Times New Roman" w:hAnsi="Times New Roman" w:cs="Times New Roman"/>
          <w:color w:val="000000"/>
          <w:lang w:val="en-US"/>
        </w:rPr>
        <w:t xml:space="preserve"> complex of </w:t>
      </w:r>
      <w:r w:rsidRPr="0068656E">
        <w:rPr>
          <w:rFonts w:ascii="Times New Roman" w:hAnsi="Times New Roman" w:cs="Times New Roman"/>
          <w:color w:val="000000"/>
          <w:lang w:val="en-US"/>
        </w:rPr>
        <w:t>Brazil’s economy</w:t>
      </w:r>
      <w:r w:rsidR="00D521B4" w:rsidRPr="0068656E">
        <w:rPr>
          <w:rFonts w:ascii="Times New Roman" w:hAnsi="Times New Roman" w:cs="Times New Roman"/>
          <w:color w:val="000000"/>
          <w:lang w:val="en-US"/>
        </w:rPr>
        <w:t>. There are many works on that issue such as:</w:t>
      </w:r>
      <w:r w:rsidR="00170AC7" w:rsidRPr="0068656E">
        <w:rPr>
          <w:rFonts w:ascii="Times New Roman" w:hAnsi="Times New Roman" w:cs="Times New Roman"/>
          <w:color w:val="000000"/>
          <w:lang w:val="en-US"/>
        </w:rPr>
        <w:t xml:space="preserve"> </w:t>
      </w:r>
      <w:r w:rsidR="00170AC7" w:rsidRPr="0068656E">
        <w:rPr>
          <w:rFonts w:ascii="Times New Roman" w:hAnsi="Times New Roman" w:cs="Times New Roman"/>
          <w:lang w:val="en-US"/>
        </w:rPr>
        <w:t xml:space="preserve">Parré and Guilhoto (2001), Montoya and Finamore (2001), Furtuoso and Guilhoto (2003), Neto </w:t>
      </w:r>
      <w:r w:rsidR="00944869">
        <w:rPr>
          <w:rFonts w:ascii="Times New Roman" w:hAnsi="Times New Roman" w:cs="Times New Roman"/>
          <w:lang w:val="en-US"/>
        </w:rPr>
        <w:t>and</w:t>
      </w:r>
      <w:r w:rsidR="00170AC7" w:rsidRPr="0068656E">
        <w:rPr>
          <w:rFonts w:ascii="Times New Roman" w:hAnsi="Times New Roman" w:cs="Times New Roman"/>
          <w:lang w:val="en-US"/>
        </w:rPr>
        <w:t xml:space="preserve"> Costa (2005), Montoya and Finamore (2005), Guilhoto et al. (2006), Guilhto et al. (2007) e Cruz</w:t>
      </w:r>
      <w:r w:rsidR="008B43CA">
        <w:rPr>
          <w:rFonts w:ascii="Times New Roman" w:hAnsi="Times New Roman" w:cs="Times New Roman"/>
          <w:lang w:val="en-US"/>
        </w:rPr>
        <w:t xml:space="preserve"> et al.</w:t>
      </w:r>
      <w:r w:rsidR="00170AC7" w:rsidRPr="0068656E">
        <w:rPr>
          <w:rFonts w:ascii="Times New Roman" w:hAnsi="Times New Roman" w:cs="Times New Roman"/>
          <w:lang w:val="en-US"/>
        </w:rPr>
        <w:t xml:space="preserve"> (2009).</w:t>
      </w:r>
      <w:r w:rsidR="00711969" w:rsidRPr="0068656E">
        <w:rPr>
          <w:rFonts w:ascii="Times New Roman" w:hAnsi="Times New Roman" w:cs="Times New Roman"/>
          <w:lang w:val="en-US"/>
        </w:rPr>
        <w:t xml:space="preserve"> The focus</w:t>
      </w:r>
      <w:r w:rsidR="00170AC7" w:rsidRPr="0068656E">
        <w:rPr>
          <w:rFonts w:ascii="Times New Roman" w:hAnsi="Times New Roman" w:cs="Times New Roman"/>
          <w:lang w:val="en-US"/>
        </w:rPr>
        <w:t xml:space="preserve"> of these works differs in accordance </w:t>
      </w:r>
      <w:r w:rsidR="00711969" w:rsidRPr="0068656E">
        <w:rPr>
          <w:rFonts w:ascii="Times New Roman" w:hAnsi="Times New Roman" w:cs="Times New Roman"/>
          <w:lang w:val="en-US"/>
        </w:rPr>
        <w:t xml:space="preserve">to the region that is taken into account. Some </w:t>
      </w:r>
      <w:r w:rsidR="00D521B4" w:rsidRPr="0068656E">
        <w:rPr>
          <w:rFonts w:ascii="Times New Roman" w:hAnsi="Times New Roman" w:cs="Times New Roman"/>
          <w:lang w:val="en-US"/>
        </w:rPr>
        <w:t>works concentrate themselves on the GDP dimension of one singular state</w:t>
      </w:r>
      <w:r w:rsidR="00711969" w:rsidRPr="0068656E">
        <w:rPr>
          <w:rFonts w:ascii="Times New Roman" w:hAnsi="Times New Roman" w:cs="Times New Roman"/>
          <w:lang w:val="en-US"/>
        </w:rPr>
        <w:t xml:space="preserve">, </w:t>
      </w:r>
      <w:r w:rsidR="0068021F" w:rsidRPr="0068656E">
        <w:rPr>
          <w:rFonts w:ascii="Times New Roman" w:hAnsi="Times New Roman" w:cs="Times New Roman"/>
          <w:lang w:val="en-US"/>
        </w:rPr>
        <w:t xml:space="preserve">while </w:t>
      </w:r>
      <w:r w:rsidR="00711969" w:rsidRPr="0068656E">
        <w:rPr>
          <w:rFonts w:ascii="Times New Roman" w:hAnsi="Times New Roman" w:cs="Times New Roman"/>
          <w:lang w:val="en-US"/>
        </w:rPr>
        <w:t xml:space="preserve">others on the GDP </w:t>
      </w:r>
      <w:r w:rsidR="00D521B4" w:rsidRPr="0068656E">
        <w:rPr>
          <w:rFonts w:ascii="Times New Roman" w:hAnsi="Times New Roman" w:cs="Times New Roman"/>
          <w:lang w:val="en-US"/>
        </w:rPr>
        <w:t xml:space="preserve">dimension </w:t>
      </w:r>
      <w:r w:rsidR="003C6375" w:rsidRPr="0068656E">
        <w:rPr>
          <w:rFonts w:ascii="Times New Roman" w:hAnsi="Times New Roman" w:cs="Times New Roman"/>
          <w:lang w:val="en-US"/>
        </w:rPr>
        <w:t>of</w:t>
      </w:r>
      <w:r w:rsidR="00711969" w:rsidRPr="0068656E">
        <w:rPr>
          <w:rFonts w:ascii="Times New Roman" w:hAnsi="Times New Roman" w:cs="Times New Roman"/>
          <w:lang w:val="en-US"/>
        </w:rPr>
        <w:t xml:space="preserve"> </w:t>
      </w:r>
      <w:r w:rsidR="00D521B4" w:rsidRPr="0068656E">
        <w:rPr>
          <w:rFonts w:ascii="Times New Roman" w:hAnsi="Times New Roman" w:cs="Times New Roman"/>
          <w:lang w:val="en-US"/>
        </w:rPr>
        <w:t xml:space="preserve">the </w:t>
      </w:r>
      <w:r w:rsidR="00711969" w:rsidRPr="0068656E">
        <w:rPr>
          <w:rFonts w:ascii="Times New Roman" w:hAnsi="Times New Roman" w:cs="Times New Roman"/>
          <w:lang w:val="en-US"/>
        </w:rPr>
        <w:t>Brazil</w:t>
      </w:r>
      <w:r w:rsidR="003C6375" w:rsidRPr="0068656E">
        <w:rPr>
          <w:rFonts w:ascii="Times New Roman" w:hAnsi="Times New Roman" w:cs="Times New Roman"/>
          <w:lang w:val="en-US"/>
        </w:rPr>
        <w:t xml:space="preserve">’s </w:t>
      </w:r>
      <w:r w:rsidR="00D521B4" w:rsidRPr="0068656E">
        <w:rPr>
          <w:rFonts w:ascii="Times New Roman" w:hAnsi="Times New Roman" w:cs="Times New Roman"/>
          <w:lang w:val="en-US"/>
        </w:rPr>
        <w:t xml:space="preserve">agribusiness </w:t>
      </w:r>
      <w:r w:rsidR="003C6375" w:rsidRPr="0068656E">
        <w:rPr>
          <w:rFonts w:ascii="Times New Roman" w:hAnsi="Times New Roman" w:cs="Times New Roman"/>
          <w:lang w:val="en-US"/>
        </w:rPr>
        <w:t>complex</w:t>
      </w:r>
      <w:r w:rsidR="0068021F" w:rsidRPr="0068656E">
        <w:rPr>
          <w:rFonts w:ascii="Times New Roman" w:hAnsi="Times New Roman" w:cs="Times New Roman"/>
          <w:lang w:val="en-US"/>
        </w:rPr>
        <w:t>. Still,</w:t>
      </w:r>
      <w:r w:rsidR="00D521B4" w:rsidRPr="0068656E">
        <w:rPr>
          <w:rFonts w:ascii="Times New Roman" w:hAnsi="Times New Roman" w:cs="Times New Roman"/>
          <w:lang w:val="en-US"/>
        </w:rPr>
        <w:t xml:space="preserve"> </w:t>
      </w:r>
      <w:r w:rsidR="0068021F" w:rsidRPr="0068656E">
        <w:rPr>
          <w:rFonts w:ascii="Times New Roman" w:hAnsi="Times New Roman" w:cs="Times New Roman"/>
          <w:lang w:val="en-US"/>
        </w:rPr>
        <w:t xml:space="preserve">there are </w:t>
      </w:r>
      <w:r w:rsidR="00D521B4" w:rsidRPr="0068656E">
        <w:rPr>
          <w:rFonts w:ascii="Times New Roman" w:hAnsi="Times New Roman" w:cs="Times New Roman"/>
          <w:lang w:val="en-US"/>
        </w:rPr>
        <w:t>some works</w:t>
      </w:r>
      <w:r w:rsidR="00711969" w:rsidRPr="0068656E">
        <w:rPr>
          <w:rFonts w:ascii="Times New Roman" w:hAnsi="Times New Roman" w:cs="Times New Roman"/>
          <w:lang w:val="en-US"/>
        </w:rPr>
        <w:t xml:space="preserve"> </w:t>
      </w:r>
      <w:r w:rsidR="0068021F" w:rsidRPr="0068656E">
        <w:rPr>
          <w:rFonts w:ascii="Times New Roman" w:hAnsi="Times New Roman" w:cs="Times New Roman"/>
          <w:lang w:val="en-US"/>
        </w:rPr>
        <w:t xml:space="preserve">that </w:t>
      </w:r>
      <w:r w:rsidR="00711969" w:rsidRPr="0068656E">
        <w:rPr>
          <w:rFonts w:ascii="Times New Roman" w:hAnsi="Times New Roman" w:cs="Times New Roman"/>
          <w:lang w:val="en-US"/>
        </w:rPr>
        <w:t>q</w:t>
      </w:r>
      <w:r w:rsidR="0068021F" w:rsidRPr="0068656E">
        <w:rPr>
          <w:rFonts w:ascii="Times New Roman" w:hAnsi="Times New Roman" w:cs="Times New Roman"/>
          <w:lang w:val="en-US"/>
        </w:rPr>
        <w:t>uantify</w:t>
      </w:r>
      <w:r w:rsidR="00711969" w:rsidRPr="0068656E">
        <w:rPr>
          <w:rFonts w:ascii="Times New Roman" w:hAnsi="Times New Roman" w:cs="Times New Roman"/>
          <w:lang w:val="en-US"/>
        </w:rPr>
        <w:t xml:space="preserve"> </w:t>
      </w:r>
      <w:r w:rsidR="0068021F" w:rsidRPr="0068656E">
        <w:rPr>
          <w:rFonts w:ascii="Times New Roman" w:hAnsi="Times New Roman" w:cs="Times New Roman"/>
          <w:lang w:val="en-US"/>
        </w:rPr>
        <w:t>agribusiness GDP both in Brazil and one specific estate, as well in one specific sector of</w:t>
      </w:r>
      <w:r w:rsidR="00711969" w:rsidRPr="0068656E">
        <w:rPr>
          <w:rFonts w:ascii="Times New Roman" w:hAnsi="Times New Roman" w:cs="Times New Roman"/>
          <w:lang w:val="en-US"/>
        </w:rPr>
        <w:t xml:space="preserve"> </w:t>
      </w:r>
      <w:r w:rsidR="0068021F" w:rsidRPr="0068656E">
        <w:rPr>
          <w:rFonts w:ascii="Times New Roman" w:hAnsi="Times New Roman" w:cs="Times New Roman"/>
          <w:lang w:val="en-US"/>
        </w:rPr>
        <w:t xml:space="preserve">the </w:t>
      </w:r>
      <w:r w:rsidR="00711969" w:rsidRPr="0068656E">
        <w:rPr>
          <w:rFonts w:ascii="Times New Roman" w:hAnsi="Times New Roman" w:cs="Times New Roman"/>
          <w:lang w:val="en-US"/>
        </w:rPr>
        <w:t>Brazilian</w:t>
      </w:r>
      <w:r w:rsidR="0068021F" w:rsidRPr="0068656E">
        <w:rPr>
          <w:rFonts w:ascii="Times New Roman" w:hAnsi="Times New Roman" w:cs="Times New Roman"/>
          <w:lang w:val="en-US"/>
        </w:rPr>
        <w:t xml:space="preserve"> </w:t>
      </w:r>
      <w:r w:rsidR="000337F8" w:rsidRPr="0068656E">
        <w:rPr>
          <w:rFonts w:ascii="Times New Roman" w:hAnsi="Times New Roman" w:cs="Times New Roman"/>
          <w:lang w:val="en-US"/>
        </w:rPr>
        <w:t>agro-livestock</w:t>
      </w:r>
      <w:r w:rsidR="00711969" w:rsidRPr="0068656E">
        <w:rPr>
          <w:rFonts w:ascii="Times New Roman" w:hAnsi="Times New Roman" w:cs="Times New Roman"/>
          <w:lang w:val="en-US"/>
        </w:rPr>
        <w:t>.</w:t>
      </w:r>
    </w:p>
    <w:p w14:paraId="28FEE674" w14:textId="77777777" w:rsidR="0046221F" w:rsidRPr="0068656E" w:rsidRDefault="0046221F"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It is noted on the Table 1 that the participation of the </w:t>
      </w:r>
      <w:r w:rsidR="0043380C" w:rsidRPr="0068656E">
        <w:rPr>
          <w:rFonts w:ascii="Times New Roman" w:hAnsi="Times New Roman" w:cs="Times New Roman"/>
          <w:lang w:val="en-US"/>
        </w:rPr>
        <w:t>s</w:t>
      </w:r>
      <w:r w:rsidRPr="0068656E">
        <w:rPr>
          <w:rFonts w:ascii="Times New Roman" w:hAnsi="Times New Roman" w:cs="Times New Roman"/>
          <w:lang w:val="en-US"/>
        </w:rPr>
        <w:t xml:space="preserve">outh region of Brazil in agribusiness in 1985 and 1995 maintained unaltered for two years. Parré e Guilhoto (2001) analyzed the development of agribusiness in </w:t>
      </w:r>
      <w:r w:rsidR="009E68BE" w:rsidRPr="0068656E">
        <w:rPr>
          <w:rFonts w:ascii="Times New Roman" w:hAnsi="Times New Roman" w:cs="Times New Roman"/>
          <w:lang w:val="en-US"/>
        </w:rPr>
        <w:t xml:space="preserve">Southern </w:t>
      </w:r>
      <w:r w:rsidRPr="0068656E">
        <w:rPr>
          <w:rFonts w:ascii="Times New Roman" w:hAnsi="Times New Roman" w:cs="Times New Roman"/>
          <w:lang w:val="en-US"/>
        </w:rPr>
        <w:t xml:space="preserve">Brazil during the years of 1985, 1990 and 1995, and measured the interdependences existing between regions. It can also be verified that </w:t>
      </w:r>
      <w:r w:rsidR="0043380C" w:rsidRPr="0068656E">
        <w:rPr>
          <w:rFonts w:ascii="Times New Roman" w:hAnsi="Times New Roman" w:cs="Times New Roman"/>
          <w:lang w:val="en-US"/>
        </w:rPr>
        <w:t>approximately half of the income produced in the south was originated from activities attached to agroindustrial complex and agribusiness.</w:t>
      </w:r>
    </w:p>
    <w:p w14:paraId="55DBC1F6" w14:textId="77777777" w:rsidR="0043380C" w:rsidRPr="0068656E" w:rsidRDefault="007D4740"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Montoya and Finamore (2001) have the main goal dimensioning and cauterizing the Brazilian agroindustrial complex from 1959 to 1995. The results, on the Table 1, </w:t>
      </w:r>
      <w:r w:rsidR="00A02C55" w:rsidRPr="0068656E">
        <w:rPr>
          <w:rFonts w:ascii="Times New Roman" w:hAnsi="Times New Roman" w:cs="Times New Roman"/>
          <w:lang w:val="en-US"/>
        </w:rPr>
        <w:t>demonstrate</w:t>
      </w:r>
      <w:r w:rsidRPr="0068656E">
        <w:rPr>
          <w:rFonts w:ascii="Times New Roman" w:hAnsi="Times New Roman" w:cs="Times New Roman"/>
          <w:lang w:val="en-US"/>
        </w:rPr>
        <w:t xml:space="preserve"> expansion </w:t>
      </w:r>
      <w:r w:rsidR="00A02C55" w:rsidRPr="0068656E">
        <w:rPr>
          <w:rFonts w:ascii="Times New Roman" w:hAnsi="Times New Roman" w:cs="Times New Roman"/>
          <w:lang w:val="en-US"/>
        </w:rPr>
        <w:t>in</w:t>
      </w:r>
      <w:r w:rsidRPr="0068656E">
        <w:rPr>
          <w:rFonts w:ascii="Times New Roman" w:hAnsi="Times New Roman" w:cs="Times New Roman"/>
          <w:lang w:val="en-US"/>
        </w:rPr>
        <w:t xml:space="preserve"> the agribusiness real value, however, </w:t>
      </w:r>
      <w:r w:rsidR="00A02C55" w:rsidRPr="0068656E">
        <w:rPr>
          <w:rFonts w:ascii="Times New Roman" w:hAnsi="Times New Roman" w:cs="Times New Roman"/>
          <w:lang w:val="en-US"/>
        </w:rPr>
        <w:t xml:space="preserve">its </w:t>
      </w:r>
      <w:r w:rsidRPr="0068656E">
        <w:rPr>
          <w:rFonts w:ascii="Times New Roman" w:hAnsi="Times New Roman" w:cs="Times New Roman"/>
          <w:lang w:val="en-US"/>
        </w:rPr>
        <w:t xml:space="preserve">participation </w:t>
      </w:r>
      <w:r w:rsidR="00A02C55" w:rsidRPr="0068656E">
        <w:rPr>
          <w:rFonts w:ascii="Times New Roman" w:hAnsi="Times New Roman" w:cs="Times New Roman"/>
          <w:lang w:val="en-US"/>
        </w:rPr>
        <w:t xml:space="preserve">in the full GDP showed a tendency of falling provoked by the expansion of other industrial complexes and service sectors. </w:t>
      </w:r>
      <w:r w:rsidR="00DA603E" w:rsidRPr="0068656E">
        <w:rPr>
          <w:rFonts w:ascii="Times New Roman" w:hAnsi="Times New Roman" w:cs="Times New Roman"/>
          <w:lang w:val="en-US"/>
        </w:rPr>
        <w:t>In addition, the authors also noted a greater concentration of income in sectors upstream and downstream in the agribusiness.</w:t>
      </w:r>
    </w:p>
    <w:p w14:paraId="6AACE1B1" w14:textId="77777777" w:rsidR="00897751" w:rsidRPr="0068656E" w:rsidRDefault="00897751"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 xml:space="preserve">An estimation and mensuration of agribusiness GDP in Brazil in the period of 1994 and 2000 were carried out by Furtuoso and Guilhoto (2003). In this work, the </w:t>
      </w:r>
      <w:r w:rsidRPr="0068656E">
        <w:rPr>
          <w:rFonts w:ascii="Times New Roman" w:hAnsi="Times New Roman" w:cs="Times New Roman"/>
          <w:lang w:val="en-US"/>
        </w:rPr>
        <w:lastRenderedPageBreak/>
        <w:t>authors quantify the agribusiness GDP separated into two big agroindustrial complexes: agricultur</w:t>
      </w:r>
      <w:r w:rsidR="007746DB" w:rsidRPr="0068656E">
        <w:rPr>
          <w:rFonts w:ascii="Times New Roman" w:hAnsi="Times New Roman" w:cs="Times New Roman"/>
          <w:lang w:val="en-US"/>
        </w:rPr>
        <w:t>e</w:t>
      </w:r>
      <w:r w:rsidRPr="0068656E">
        <w:rPr>
          <w:rFonts w:ascii="Times New Roman" w:hAnsi="Times New Roman" w:cs="Times New Roman"/>
          <w:lang w:val="en-US"/>
        </w:rPr>
        <w:t xml:space="preserve"> and livestock. For the authors, the results demonstrate a high level of interdependency between Brazilian productive sectors. According to th</w:t>
      </w:r>
      <w:r w:rsidR="007746DB" w:rsidRPr="0068656E">
        <w:rPr>
          <w:rFonts w:ascii="Times New Roman" w:hAnsi="Times New Roman" w:cs="Times New Roman"/>
          <w:lang w:val="en-US"/>
        </w:rPr>
        <w:t>os</w:t>
      </w:r>
      <w:r w:rsidRPr="0068656E">
        <w:rPr>
          <w:rFonts w:ascii="Times New Roman" w:hAnsi="Times New Roman" w:cs="Times New Roman"/>
          <w:lang w:val="en-US"/>
        </w:rPr>
        <w:t xml:space="preserve">e authors, the difference (Table 1) between </w:t>
      </w:r>
      <w:r w:rsidR="007746DB" w:rsidRPr="0068656E">
        <w:rPr>
          <w:rFonts w:ascii="Times New Roman" w:hAnsi="Times New Roman" w:cs="Times New Roman"/>
          <w:lang w:val="en-US"/>
        </w:rPr>
        <w:t xml:space="preserve">the participation of the agricultural and livestock agroindustrial complex can be mostly explained by the variety of items </w:t>
      </w:r>
      <w:r w:rsidR="00AE4E4B" w:rsidRPr="0068656E">
        <w:rPr>
          <w:rFonts w:ascii="Times New Roman" w:hAnsi="Times New Roman" w:cs="Times New Roman"/>
          <w:lang w:val="en-US"/>
        </w:rPr>
        <w:t>originated from agriculture; so</w:t>
      </w:r>
      <w:r w:rsidR="007746DB" w:rsidRPr="0068656E">
        <w:rPr>
          <w:rFonts w:ascii="Times New Roman" w:hAnsi="Times New Roman" w:cs="Times New Roman"/>
          <w:lang w:val="en-US"/>
        </w:rPr>
        <w:t xml:space="preserve"> there is a large number of processing units from the rural production to the agricultural agroindustrial complex. </w:t>
      </w:r>
    </w:p>
    <w:p w14:paraId="055B2FA7" w14:textId="77777777" w:rsidR="00AE4E4B" w:rsidRPr="0068656E" w:rsidRDefault="00AE4E4B"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 xml:space="preserve">The mensuration of agribusiness GDP of Pernambuco was taken by Neto and Costa (2005). The objectives of this work concerned the conceptualization and characterization of agribusiness as well as the discussion related to the methodology used to dimension of agribusiness GDP. According to the results, showed on Table 1, the authors demonstrate that the participation of agribusiness in GDP of the Pernambuco state was superior to that one pointed by official statistic data for the primary sector of the economy of Pernambuco. </w:t>
      </w:r>
    </w:p>
    <w:p w14:paraId="163FBFCF" w14:textId="77777777" w:rsidR="00FE0F04" w:rsidRPr="0068656E" w:rsidRDefault="00FE0F04"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Finamore and Montoya (2005) attempted to conceptualize and quantify the agroindustrial complex of dairy farming in the state of Rio Grande do Sul. The methodology adopted indicators of sectorial performance as well indexes of buy-and-sell autonomy in order to delimitate the dimensioning of the dairy complex. The results showed that the dairy cattlemen from Rio Grande do Sul is a great national producer and t</w:t>
      </w:r>
      <w:r w:rsidR="00474698" w:rsidRPr="0068656E">
        <w:rPr>
          <w:rFonts w:ascii="Times New Roman" w:hAnsi="Times New Roman" w:cs="Times New Roman"/>
          <w:lang w:val="en-US"/>
        </w:rPr>
        <w:t>heir level of</w:t>
      </w:r>
      <w:r w:rsidRPr="0068656E">
        <w:rPr>
          <w:rFonts w:ascii="Times New Roman" w:hAnsi="Times New Roman" w:cs="Times New Roman"/>
          <w:lang w:val="en-US"/>
        </w:rPr>
        <w:t xml:space="preserve"> competitiveness </w:t>
      </w:r>
      <w:r w:rsidR="00474698" w:rsidRPr="0068656E">
        <w:rPr>
          <w:rFonts w:ascii="Times New Roman" w:hAnsi="Times New Roman" w:cs="Times New Roman"/>
          <w:lang w:val="en-US"/>
        </w:rPr>
        <w:t>makes them among one of those most efficient producers in Brazil. Furthermore, the results demonstrate</w:t>
      </w:r>
      <w:r w:rsidR="001B17B6" w:rsidRPr="0068656E">
        <w:rPr>
          <w:rFonts w:ascii="Times New Roman" w:hAnsi="Times New Roman" w:cs="Times New Roman"/>
          <w:lang w:val="en-US"/>
        </w:rPr>
        <w:t>d</w:t>
      </w:r>
      <w:r w:rsidR="00474698" w:rsidRPr="0068656E">
        <w:rPr>
          <w:rFonts w:ascii="Times New Roman" w:hAnsi="Times New Roman" w:cs="Times New Roman"/>
          <w:lang w:val="en-US"/>
        </w:rPr>
        <w:t xml:space="preserve"> that the participation of the southern dairy complex in the agribusiness GDP was significant</w:t>
      </w:r>
      <w:r w:rsidR="001B17B6" w:rsidRPr="0068656E">
        <w:rPr>
          <w:rFonts w:ascii="Times New Roman" w:hAnsi="Times New Roman" w:cs="Times New Roman"/>
          <w:lang w:val="en-US"/>
        </w:rPr>
        <w:t xml:space="preserve"> and this complex offered 118.603</w:t>
      </w:r>
      <w:r w:rsidR="00DB4044" w:rsidRPr="0068656E">
        <w:rPr>
          <w:rFonts w:ascii="Times New Roman" w:hAnsi="Times New Roman" w:cs="Times New Roman"/>
          <w:lang w:val="en-US"/>
        </w:rPr>
        <w:t>, representing an important source of employments to agribusiness and the state, as it is showed on Table 1.</w:t>
      </w:r>
    </w:p>
    <w:p w14:paraId="26AE2D23" w14:textId="77777777" w:rsidR="00DB4044" w:rsidRPr="0068656E" w:rsidRDefault="00DB4044"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lastRenderedPageBreak/>
        <w:tab/>
        <w:t xml:space="preserve">The participation of family agribusiness </w:t>
      </w:r>
      <w:r w:rsidR="00BE6A17" w:rsidRPr="0068656E">
        <w:rPr>
          <w:rFonts w:ascii="Times New Roman" w:hAnsi="Times New Roman" w:cs="Times New Roman"/>
          <w:lang w:val="en-US"/>
        </w:rPr>
        <w:t>in</w:t>
      </w:r>
      <w:r w:rsidRPr="0068656E">
        <w:rPr>
          <w:rFonts w:ascii="Times New Roman" w:hAnsi="Times New Roman" w:cs="Times New Roman"/>
          <w:lang w:val="en-US"/>
        </w:rPr>
        <w:t xml:space="preserve"> GDP in the Brazil’s agroindustrial complex was one the goal of the work developed by Guilhoto et a. (2006). According to Table 1, besides the results showing the participation around 1/3 of family</w:t>
      </w:r>
      <w:r w:rsidR="000337F8" w:rsidRPr="0068656E">
        <w:rPr>
          <w:rFonts w:ascii="Times New Roman" w:hAnsi="Times New Roman" w:cs="Times New Roman"/>
          <w:lang w:val="en-US"/>
        </w:rPr>
        <w:t xml:space="preserve"> agro-livestock</w:t>
      </w:r>
      <w:r w:rsidRPr="0068656E">
        <w:rPr>
          <w:rFonts w:ascii="Times New Roman" w:hAnsi="Times New Roman" w:cs="Times New Roman"/>
          <w:lang w:val="en-US"/>
        </w:rPr>
        <w:t xml:space="preserve"> </w:t>
      </w:r>
      <w:r w:rsidR="00BE6A17" w:rsidRPr="0068656E">
        <w:rPr>
          <w:rFonts w:ascii="Times New Roman" w:hAnsi="Times New Roman" w:cs="Times New Roman"/>
          <w:lang w:val="en-US"/>
        </w:rPr>
        <w:t>in</w:t>
      </w:r>
      <w:r w:rsidRPr="0068656E">
        <w:rPr>
          <w:rFonts w:ascii="Times New Roman" w:hAnsi="Times New Roman" w:cs="Times New Roman"/>
          <w:lang w:val="en-US"/>
        </w:rPr>
        <w:t xml:space="preserve"> GDP in the Brazilian agribusiness, it is highlighted </w:t>
      </w:r>
      <w:r w:rsidR="002B22C3" w:rsidRPr="0068656E">
        <w:rPr>
          <w:rFonts w:ascii="Times New Roman" w:hAnsi="Times New Roman" w:cs="Times New Roman"/>
          <w:lang w:val="en-US"/>
        </w:rPr>
        <w:t xml:space="preserve">that </w:t>
      </w:r>
      <w:r w:rsidRPr="0068656E">
        <w:rPr>
          <w:rFonts w:ascii="Times New Roman" w:hAnsi="Times New Roman" w:cs="Times New Roman"/>
          <w:lang w:val="en-US"/>
        </w:rPr>
        <w:t>the growth rate</w:t>
      </w:r>
      <w:r w:rsidR="002B22C3" w:rsidRPr="0068656E">
        <w:rPr>
          <w:rFonts w:ascii="Times New Roman" w:hAnsi="Times New Roman" w:cs="Times New Roman"/>
          <w:lang w:val="en-US"/>
        </w:rPr>
        <w:t xml:space="preserve"> of </w:t>
      </w:r>
      <w:r w:rsidR="000337F8" w:rsidRPr="0068656E">
        <w:rPr>
          <w:rFonts w:ascii="Times New Roman" w:hAnsi="Times New Roman" w:cs="Times New Roman"/>
          <w:lang w:val="en-US"/>
        </w:rPr>
        <w:t xml:space="preserve">agro-livestock </w:t>
      </w:r>
      <w:r w:rsidR="002B22C3" w:rsidRPr="0068656E">
        <w:rPr>
          <w:rFonts w:ascii="Times New Roman" w:hAnsi="Times New Roman" w:cs="Times New Roman"/>
          <w:lang w:val="en-US"/>
        </w:rPr>
        <w:t>and all the agroindustrial complex associated to it, in recent years, had overcome the growth rate of the employer segment.</w:t>
      </w:r>
    </w:p>
    <w:p w14:paraId="03064F64" w14:textId="77777777" w:rsidR="002B22C3" w:rsidRPr="0068656E" w:rsidRDefault="000337F8"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Guilhoto et a</w:t>
      </w:r>
      <w:r w:rsidR="002B22C3" w:rsidRPr="0068656E">
        <w:rPr>
          <w:rFonts w:ascii="Times New Roman" w:hAnsi="Times New Roman" w:cs="Times New Roman"/>
          <w:lang w:val="en-US"/>
        </w:rPr>
        <w:t>l</w:t>
      </w:r>
      <w:r w:rsidRPr="0068656E">
        <w:rPr>
          <w:rFonts w:ascii="Times New Roman" w:hAnsi="Times New Roman" w:cs="Times New Roman"/>
          <w:lang w:val="en-US"/>
        </w:rPr>
        <w:t>.</w:t>
      </w:r>
      <w:r w:rsidR="002B22C3" w:rsidRPr="0068656E">
        <w:rPr>
          <w:rFonts w:ascii="Times New Roman" w:hAnsi="Times New Roman" w:cs="Times New Roman"/>
          <w:lang w:val="en-US"/>
        </w:rPr>
        <w:t xml:space="preserve"> (2007) analyzed the evolution of Brazil’s GDP and Bahia during 1990-2005 trying to measure the segments and sub-complexes. It is perceived by the Table 1 that the participation of GDP in agribusiness on Brazil’s GDP and Bahia’s was approximately the same in the same period of analysis. On the other hand, participations in agribusiness by sub-complexes in Bahia have agricultural activities with greater participation while others results by segments show that the most remarkable participation was </w:t>
      </w:r>
      <w:r w:rsidRPr="0068656E">
        <w:rPr>
          <w:rFonts w:ascii="Times New Roman" w:hAnsi="Times New Roman" w:cs="Times New Roman"/>
          <w:lang w:val="en-US"/>
        </w:rPr>
        <w:t>the core activity (agro-livestock)</w:t>
      </w:r>
      <w:r w:rsidR="00100FEA" w:rsidRPr="0068656E">
        <w:rPr>
          <w:rFonts w:ascii="Times New Roman" w:hAnsi="Times New Roman" w:cs="Times New Roman"/>
          <w:lang w:val="en-US"/>
        </w:rPr>
        <w:t xml:space="preserve">. </w:t>
      </w:r>
    </w:p>
    <w:p w14:paraId="2420613B" w14:textId="36F85E2F" w:rsidR="00100FEA" w:rsidRDefault="00100FEA"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Cruz</w:t>
      </w:r>
      <w:r w:rsidR="00096D47">
        <w:rPr>
          <w:rFonts w:ascii="Times New Roman" w:hAnsi="Times New Roman" w:cs="Times New Roman"/>
          <w:lang w:val="en-US"/>
        </w:rPr>
        <w:t xml:space="preserve"> et al.</w:t>
      </w:r>
      <w:r w:rsidRPr="0068656E">
        <w:rPr>
          <w:rFonts w:ascii="Times New Roman" w:hAnsi="Times New Roman" w:cs="Times New Roman"/>
          <w:lang w:val="en-US"/>
        </w:rPr>
        <w:t xml:space="preserve"> (200</w:t>
      </w:r>
      <w:r w:rsidR="00096D47">
        <w:rPr>
          <w:rFonts w:ascii="Times New Roman" w:hAnsi="Times New Roman" w:cs="Times New Roman"/>
          <w:lang w:val="en-US"/>
        </w:rPr>
        <w:t>9</w:t>
      </w:r>
      <w:r w:rsidRPr="0068656E">
        <w:rPr>
          <w:rFonts w:ascii="Times New Roman" w:hAnsi="Times New Roman" w:cs="Times New Roman"/>
          <w:lang w:val="en-US"/>
        </w:rPr>
        <w:t xml:space="preserve">) analyzed the definition of Aggregate I (suppliers of inputs and capital goods), Aggregate II (livestock itself), Aggregate III (processing and industrialization of livestock production) and Aggregate IV (agro-livestock distribution). It is possible to verify by the Table 1 that the results of the study demonstrated that agribusiness in Minas Gerais state had a significant participation </w:t>
      </w:r>
      <w:r w:rsidR="00BE6A17" w:rsidRPr="0068656E">
        <w:rPr>
          <w:rFonts w:ascii="Times New Roman" w:hAnsi="Times New Roman" w:cs="Times New Roman"/>
          <w:lang w:val="en-US"/>
        </w:rPr>
        <w:t>in</w:t>
      </w:r>
      <w:r w:rsidRPr="0068656E">
        <w:rPr>
          <w:rFonts w:ascii="Times New Roman" w:hAnsi="Times New Roman" w:cs="Times New Roman"/>
          <w:lang w:val="en-US"/>
        </w:rPr>
        <w:t xml:space="preserve"> the composition of Minas Gerais GDP, as well </w:t>
      </w:r>
      <w:r w:rsidR="00BE6A17" w:rsidRPr="0068656E">
        <w:rPr>
          <w:rFonts w:ascii="Times New Roman" w:hAnsi="Times New Roman" w:cs="Times New Roman"/>
          <w:lang w:val="en-US"/>
        </w:rPr>
        <w:t>in</w:t>
      </w:r>
      <w:r w:rsidRPr="0068656E">
        <w:rPr>
          <w:rFonts w:ascii="Times New Roman" w:hAnsi="Times New Roman" w:cs="Times New Roman"/>
          <w:lang w:val="en-US"/>
        </w:rPr>
        <w:t xml:space="preserve"> the GDP in Brazilian agribusiness, showing that the sector with major participation </w:t>
      </w:r>
      <w:r w:rsidR="00BE6A17" w:rsidRPr="0068656E">
        <w:rPr>
          <w:rFonts w:ascii="Times New Roman" w:hAnsi="Times New Roman" w:cs="Times New Roman"/>
          <w:lang w:val="en-US"/>
        </w:rPr>
        <w:t>im</w:t>
      </w:r>
      <w:r w:rsidRPr="0068656E">
        <w:rPr>
          <w:rFonts w:ascii="Times New Roman" w:hAnsi="Times New Roman" w:cs="Times New Roman"/>
          <w:lang w:val="en-US"/>
        </w:rPr>
        <w:t xml:space="preserve"> dimensioning GDP in Minas Gerais agribusiness was: processing, industrialization and distribution.</w:t>
      </w:r>
    </w:p>
    <w:p w14:paraId="71421241" w14:textId="0EC33802" w:rsidR="004B51E6" w:rsidRDefault="004B51E6" w:rsidP="00ED4EE3">
      <w:pPr>
        <w:spacing w:line="480" w:lineRule="auto"/>
        <w:jc w:val="both"/>
        <w:rPr>
          <w:rFonts w:ascii="Times New Roman" w:hAnsi="Times New Roman" w:cs="Times New Roman"/>
          <w:lang w:val="en-US"/>
        </w:rPr>
      </w:pPr>
    </w:p>
    <w:p w14:paraId="724869E2" w14:textId="77777777" w:rsidR="004B51E6" w:rsidRPr="0068656E" w:rsidRDefault="004B51E6" w:rsidP="00ED4EE3">
      <w:pPr>
        <w:spacing w:line="480" w:lineRule="auto"/>
        <w:jc w:val="both"/>
        <w:rPr>
          <w:rFonts w:ascii="Times New Roman" w:hAnsi="Times New Roman" w:cs="Times New Roman"/>
          <w:lang w:val="en-US"/>
        </w:rPr>
      </w:pPr>
    </w:p>
    <w:p w14:paraId="093EED3B" w14:textId="77777777" w:rsidR="002B22C3" w:rsidRPr="0068656E" w:rsidRDefault="002B22C3" w:rsidP="00ED4EE3">
      <w:pPr>
        <w:spacing w:line="480" w:lineRule="auto"/>
        <w:jc w:val="both"/>
        <w:rPr>
          <w:rFonts w:ascii="Times New Roman" w:hAnsi="Times New Roman" w:cs="Times New Roman"/>
          <w:lang w:val="en-US"/>
        </w:rPr>
      </w:pPr>
    </w:p>
    <w:p w14:paraId="4E1F9DEA" w14:textId="77777777" w:rsidR="002B22C3" w:rsidRPr="0068656E" w:rsidRDefault="002B22C3" w:rsidP="00ED4EE3">
      <w:pPr>
        <w:spacing w:line="480" w:lineRule="auto"/>
        <w:jc w:val="both"/>
        <w:rPr>
          <w:rFonts w:ascii="Times New Roman" w:hAnsi="Times New Roman" w:cs="Times New Roman"/>
          <w:lang w:val="en-US"/>
        </w:rPr>
      </w:pPr>
    </w:p>
    <w:p w14:paraId="2DF9FDAA" w14:textId="77777777" w:rsidR="00B1693E" w:rsidRPr="0068656E" w:rsidRDefault="00ED4EE3" w:rsidP="00ED4EE3">
      <w:pPr>
        <w:jc w:val="both"/>
        <w:rPr>
          <w:rFonts w:ascii="Times New Roman" w:hAnsi="Times New Roman" w:cs="Times New Roman"/>
          <w:i/>
          <w:lang w:val="en-US"/>
        </w:rPr>
      </w:pPr>
      <w:r>
        <w:rPr>
          <w:rFonts w:ascii="Times New Roman" w:hAnsi="Times New Roman" w:cs="Times New Roman"/>
          <w:b/>
          <w:lang w:val="en-US"/>
        </w:rPr>
        <w:lastRenderedPageBreak/>
        <w:t>Table</w:t>
      </w:r>
      <w:r w:rsidR="00B1693E" w:rsidRPr="00ED4EE3">
        <w:rPr>
          <w:rFonts w:ascii="Times New Roman" w:hAnsi="Times New Roman" w:cs="Times New Roman"/>
          <w:b/>
          <w:lang w:val="en-US"/>
        </w:rPr>
        <w:t xml:space="preserve"> 1:</w:t>
      </w:r>
      <w:r w:rsidR="00B1693E" w:rsidRPr="0068656E">
        <w:rPr>
          <w:rFonts w:ascii="Times New Roman" w:hAnsi="Times New Roman" w:cs="Times New Roman"/>
          <w:i/>
          <w:lang w:val="en-US"/>
        </w:rPr>
        <w:t xml:space="preserve"> Brazilian literature summary</w:t>
      </w:r>
    </w:p>
    <w:p w14:paraId="6A852C8F" w14:textId="77777777" w:rsidR="00B1693E" w:rsidRPr="0068656E" w:rsidRDefault="00B1693E" w:rsidP="00ED4EE3">
      <w:pPr>
        <w:jc w:val="both"/>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354"/>
      </w:tblGrid>
      <w:tr w:rsidR="00B1693E" w:rsidRPr="0068656E" w14:paraId="5E6EE732" w14:textId="77777777" w:rsidTr="00ED4EE3">
        <w:tc>
          <w:tcPr>
            <w:tcW w:w="3227" w:type="dxa"/>
            <w:tcBorders>
              <w:left w:val="nil"/>
            </w:tcBorders>
            <w:shd w:val="clear" w:color="auto" w:fill="auto"/>
          </w:tcPr>
          <w:p w14:paraId="120B66EF" w14:textId="77777777" w:rsidR="00B1693E" w:rsidRPr="0068656E" w:rsidRDefault="00B1693E" w:rsidP="00ED4EE3">
            <w:pPr>
              <w:spacing w:line="480" w:lineRule="auto"/>
              <w:jc w:val="both"/>
              <w:rPr>
                <w:rFonts w:ascii="Times New Roman" w:hAnsi="Times New Roman" w:cs="Times New Roman"/>
              </w:rPr>
            </w:pPr>
            <w:r w:rsidRPr="0068656E">
              <w:rPr>
                <w:rFonts w:ascii="Times New Roman" w:hAnsi="Times New Roman" w:cs="Times New Roman"/>
              </w:rPr>
              <w:t>Authors</w:t>
            </w:r>
          </w:p>
        </w:tc>
        <w:tc>
          <w:tcPr>
            <w:tcW w:w="5492" w:type="dxa"/>
            <w:tcBorders>
              <w:right w:val="nil"/>
            </w:tcBorders>
            <w:shd w:val="clear" w:color="auto" w:fill="auto"/>
          </w:tcPr>
          <w:p w14:paraId="5A789166" w14:textId="77777777" w:rsidR="00B1693E" w:rsidRPr="0068656E" w:rsidRDefault="008D68E8" w:rsidP="00ED4EE3">
            <w:pPr>
              <w:spacing w:line="480" w:lineRule="auto"/>
              <w:jc w:val="both"/>
              <w:rPr>
                <w:rFonts w:ascii="Times New Roman" w:hAnsi="Times New Roman" w:cs="Times New Roman"/>
              </w:rPr>
            </w:pPr>
            <w:r w:rsidRPr="0068656E">
              <w:rPr>
                <w:rFonts w:ascii="Times New Roman" w:hAnsi="Times New Roman" w:cs="Times New Roman"/>
              </w:rPr>
              <w:t>Result</w:t>
            </w:r>
          </w:p>
        </w:tc>
      </w:tr>
      <w:tr w:rsidR="00B1693E" w:rsidRPr="007A6579" w14:paraId="5836A222" w14:textId="77777777" w:rsidTr="00ED4EE3">
        <w:tc>
          <w:tcPr>
            <w:tcW w:w="3227" w:type="dxa"/>
            <w:tcBorders>
              <w:left w:val="nil"/>
            </w:tcBorders>
            <w:shd w:val="clear" w:color="auto" w:fill="auto"/>
          </w:tcPr>
          <w:p w14:paraId="5FA84DA4" w14:textId="77777777" w:rsidR="00B1693E" w:rsidRPr="0068656E" w:rsidRDefault="00B1693E" w:rsidP="00ED4EE3">
            <w:pPr>
              <w:spacing w:line="480" w:lineRule="auto"/>
              <w:jc w:val="both"/>
              <w:rPr>
                <w:rFonts w:ascii="Times New Roman" w:hAnsi="Times New Roman" w:cs="Times New Roman"/>
              </w:rPr>
            </w:pPr>
            <w:r w:rsidRPr="0068656E">
              <w:rPr>
                <w:rFonts w:ascii="Times New Roman" w:hAnsi="Times New Roman" w:cs="Times New Roman"/>
              </w:rPr>
              <w:t xml:space="preserve">Parré </w:t>
            </w:r>
            <w:r w:rsidR="00FE7A29">
              <w:rPr>
                <w:rFonts w:ascii="Times New Roman" w:hAnsi="Times New Roman" w:cs="Times New Roman"/>
              </w:rPr>
              <w:t>and</w:t>
            </w:r>
            <w:r w:rsidRPr="0068656E">
              <w:rPr>
                <w:rFonts w:ascii="Times New Roman" w:hAnsi="Times New Roman" w:cs="Times New Roman"/>
              </w:rPr>
              <w:t xml:space="preserve"> Guilhoto (2001)</w:t>
            </w:r>
          </w:p>
        </w:tc>
        <w:tc>
          <w:tcPr>
            <w:tcW w:w="5492" w:type="dxa"/>
            <w:tcBorders>
              <w:right w:val="nil"/>
            </w:tcBorders>
            <w:shd w:val="clear" w:color="auto" w:fill="auto"/>
          </w:tcPr>
          <w:p w14:paraId="56B77CAB" w14:textId="77777777" w:rsidR="00B1693E" w:rsidRPr="0068656E" w:rsidRDefault="008D68E8" w:rsidP="00ED4EE3">
            <w:pPr>
              <w:jc w:val="both"/>
              <w:rPr>
                <w:rFonts w:ascii="Times New Roman" w:hAnsi="Times New Roman" w:cs="Times New Roman"/>
                <w:lang w:val="en-US"/>
              </w:rPr>
            </w:pPr>
            <w:r w:rsidRPr="0068656E">
              <w:rPr>
                <w:rFonts w:ascii="Times New Roman" w:hAnsi="Times New Roman" w:cs="Times New Roman"/>
                <w:lang w:val="en-US"/>
              </w:rPr>
              <w:t>It is</w:t>
            </w:r>
            <w:r w:rsidR="002433C4" w:rsidRPr="0068656E">
              <w:rPr>
                <w:rFonts w:ascii="Times New Roman" w:hAnsi="Times New Roman" w:cs="Times New Roman"/>
                <w:lang w:val="en-US"/>
              </w:rPr>
              <w:t xml:space="preserve"> indicate</w:t>
            </w:r>
            <w:r w:rsidRPr="0068656E">
              <w:rPr>
                <w:rFonts w:ascii="Times New Roman" w:hAnsi="Times New Roman" w:cs="Times New Roman"/>
                <w:lang w:val="en-US"/>
              </w:rPr>
              <w:t>d</w:t>
            </w:r>
            <w:r w:rsidR="002433C4" w:rsidRPr="0068656E">
              <w:rPr>
                <w:rFonts w:ascii="Times New Roman" w:hAnsi="Times New Roman" w:cs="Times New Roman"/>
                <w:lang w:val="en-US"/>
              </w:rPr>
              <w:t xml:space="preserve"> a raise </w:t>
            </w:r>
            <w:r w:rsidRPr="0068656E">
              <w:rPr>
                <w:rFonts w:ascii="Times New Roman" w:hAnsi="Times New Roman" w:cs="Times New Roman"/>
                <w:lang w:val="en-US"/>
              </w:rPr>
              <w:t>in the participation of the Southern</w:t>
            </w:r>
            <w:r w:rsidR="00B1693E" w:rsidRPr="0068656E">
              <w:rPr>
                <w:rFonts w:ascii="Times New Roman" w:hAnsi="Times New Roman" w:cs="Times New Roman"/>
                <w:lang w:val="en-US"/>
              </w:rPr>
              <w:t xml:space="preserve"> Brazil’s agribusiness </w:t>
            </w:r>
            <w:r w:rsidR="00B7224E">
              <w:rPr>
                <w:rFonts w:ascii="Times New Roman" w:hAnsi="Times New Roman" w:cs="Times New Roman"/>
                <w:lang w:val="en-US"/>
              </w:rPr>
              <w:t>from 29.7% in 1985 to 29.</w:t>
            </w:r>
            <w:r w:rsidR="002433C4" w:rsidRPr="0068656E">
              <w:rPr>
                <w:rFonts w:ascii="Times New Roman" w:hAnsi="Times New Roman" w:cs="Times New Roman"/>
                <w:lang w:val="en-US"/>
              </w:rPr>
              <w:t>6% in 1995. The participation in GDP agribusiness of this state was approximately 50%.</w:t>
            </w:r>
          </w:p>
        </w:tc>
      </w:tr>
      <w:tr w:rsidR="00B1693E" w:rsidRPr="007A6579" w14:paraId="71BDD5A4" w14:textId="77777777" w:rsidTr="00ED4EE3">
        <w:tc>
          <w:tcPr>
            <w:tcW w:w="3227" w:type="dxa"/>
            <w:tcBorders>
              <w:left w:val="nil"/>
            </w:tcBorders>
            <w:shd w:val="clear" w:color="auto" w:fill="auto"/>
          </w:tcPr>
          <w:p w14:paraId="42F6CF6A" w14:textId="77777777" w:rsidR="00B1693E" w:rsidRPr="0068656E" w:rsidRDefault="00B1693E" w:rsidP="00ED4EE3">
            <w:pPr>
              <w:spacing w:line="480" w:lineRule="auto"/>
              <w:jc w:val="both"/>
              <w:rPr>
                <w:rFonts w:ascii="Times New Roman" w:hAnsi="Times New Roman" w:cs="Times New Roman"/>
              </w:rPr>
            </w:pPr>
            <w:r w:rsidRPr="0068656E">
              <w:rPr>
                <w:rFonts w:ascii="Times New Roman" w:hAnsi="Times New Roman" w:cs="Times New Roman"/>
              </w:rPr>
              <w:t xml:space="preserve">Montoya </w:t>
            </w:r>
            <w:r w:rsidR="00FE7A29">
              <w:rPr>
                <w:rFonts w:ascii="Times New Roman" w:hAnsi="Times New Roman" w:cs="Times New Roman"/>
              </w:rPr>
              <w:t>and</w:t>
            </w:r>
            <w:r w:rsidRPr="0068656E">
              <w:rPr>
                <w:rFonts w:ascii="Times New Roman" w:hAnsi="Times New Roman" w:cs="Times New Roman"/>
              </w:rPr>
              <w:t xml:space="preserve"> Finamore (2001)</w:t>
            </w:r>
          </w:p>
        </w:tc>
        <w:tc>
          <w:tcPr>
            <w:tcW w:w="5492" w:type="dxa"/>
            <w:tcBorders>
              <w:right w:val="nil"/>
            </w:tcBorders>
            <w:shd w:val="clear" w:color="auto" w:fill="auto"/>
          </w:tcPr>
          <w:p w14:paraId="117FDFEA" w14:textId="77777777" w:rsidR="00B1693E" w:rsidRPr="0068656E" w:rsidRDefault="002433C4" w:rsidP="00ED4EE3">
            <w:pPr>
              <w:jc w:val="both"/>
              <w:rPr>
                <w:rFonts w:ascii="Times New Roman" w:hAnsi="Times New Roman" w:cs="Times New Roman"/>
                <w:lang w:val="en-US"/>
              </w:rPr>
            </w:pPr>
            <w:r w:rsidRPr="0068656E">
              <w:rPr>
                <w:rFonts w:ascii="Times New Roman" w:hAnsi="Times New Roman" w:cs="Times New Roman"/>
                <w:lang w:val="en-US"/>
              </w:rPr>
              <w:t>T</w:t>
            </w:r>
            <w:r w:rsidR="008D68E8" w:rsidRPr="0068656E">
              <w:rPr>
                <w:rFonts w:ascii="Times New Roman" w:hAnsi="Times New Roman" w:cs="Times New Roman"/>
                <w:lang w:val="en-US"/>
              </w:rPr>
              <w:t xml:space="preserve">he authors </w:t>
            </w:r>
            <w:r w:rsidRPr="0068656E">
              <w:rPr>
                <w:rFonts w:ascii="Times New Roman" w:hAnsi="Times New Roman" w:cs="Times New Roman"/>
                <w:lang w:val="en-US"/>
              </w:rPr>
              <w:t>demonstrate an evolution in the real value of agribusiness in the period of 1959-1995, however, they evidenced a tendency of falling in the participation of the GDP due to an expansion of industrial complexes and service sectors.</w:t>
            </w:r>
          </w:p>
        </w:tc>
      </w:tr>
      <w:tr w:rsidR="00B1693E" w:rsidRPr="00F153A8" w14:paraId="7D491736" w14:textId="77777777" w:rsidTr="00ED4EE3">
        <w:tc>
          <w:tcPr>
            <w:tcW w:w="3227" w:type="dxa"/>
            <w:tcBorders>
              <w:left w:val="nil"/>
            </w:tcBorders>
            <w:shd w:val="clear" w:color="auto" w:fill="auto"/>
          </w:tcPr>
          <w:p w14:paraId="1AB9F947" w14:textId="77777777" w:rsidR="00B1693E" w:rsidRPr="0068656E" w:rsidRDefault="00B1693E" w:rsidP="00ED4EE3">
            <w:pPr>
              <w:spacing w:line="480" w:lineRule="auto"/>
              <w:jc w:val="both"/>
              <w:rPr>
                <w:rFonts w:ascii="Times New Roman" w:hAnsi="Times New Roman" w:cs="Times New Roman"/>
              </w:rPr>
            </w:pPr>
            <w:r w:rsidRPr="0068656E">
              <w:rPr>
                <w:rFonts w:ascii="Times New Roman" w:hAnsi="Times New Roman" w:cs="Times New Roman"/>
              </w:rPr>
              <w:t xml:space="preserve">Furtuoso </w:t>
            </w:r>
            <w:r w:rsidR="00FE7A29">
              <w:rPr>
                <w:rFonts w:ascii="Times New Roman" w:hAnsi="Times New Roman" w:cs="Times New Roman"/>
              </w:rPr>
              <w:t>and</w:t>
            </w:r>
            <w:r w:rsidRPr="0068656E">
              <w:rPr>
                <w:rFonts w:ascii="Times New Roman" w:hAnsi="Times New Roman" w:cs="Times New Roman"/>
              </w:rPr>
              <w:t xml:space="preserve"> Guilhoto (2003)</w:t>
            </w:r>
          </w:p>
        </w:tc>
        <w:tc>
          <w:tcPr>
            <w:tcW w:w="5492" w:type="dxa"/>
            <w:tcBorders>
              <w:right w:val="nil"/>
            </w:tcBorders>
            <w:shd w:val="clear" w:color="auto" w:fill="auto"/>
          </w:tcPr>
          <w:p w14:paraId="6B9CE6A4" w14:textId="77777777" w:rsidR="00B1693E" w:rsidRPr="0068656E" w:rsidRDefault="008D68E8" w:rsidP="00ED4EE3">
            <w:pPr>
              <w:jc w:val="both"/>
              <w:rPr>
                <w:rFonts w:ascii="Times New Roman" w:hAnsi="Times New Roman" w:cs="Times New Roman"/>
                <w:lang w:val="en-US"/>
              </w:rPr>
            </w:pPr>
            <w:r w:rsidRPr="0068656E">
              <w:rPr>
                <w:rFonts w:ascii="Times New Roman" w:hAnsi="Times New Roman" w:cs="Times New Roman"/>
                <w:lang w:val="en-US"/>
              </w:rPr>
              <w:t>The authors</w:t>
            </w:r>
            <w:r w:rsidR="002433C4" w:rsidRPr="0068656E">
              <w:rPr>
                <w:rFonts w:ascii="Times New Roman" w:hAnsi="Times New Roman" w:cs="Times New Roman"/>
                <w:lang w:val="en-US"/>
              </w:rPr>
              <w:t xml:space="preserve"> showed that for the period of 1994 to 2000, agribusiness GDP of two complexes, agricultural and agro-livestock, had equal participations of 8% and 20%, respectively, and the full participation of agribusiness was a total of 27% </w:t>
            </w:r>
          </w:p>
        </w:tc>
      </w:tr>
      <w:tr w:rsidR="00B1693E" w:rsidRPr="00F153A8" w14:paraId="2E5EABA5" w14:textId="77777777" w:rsidTr="00ED4EE3">
        <w:tc>
          <w:tcPr>
            <w:tcW w:w="3227" w:type="dxa"/>
            <w:tcBorders>
              <w:left w:val="nil"/>
            </w:tcBorders>
            <w:shd w:val="clear" w:color="auto" w:fill="auto"/>
          </w:tcPr>
          <w:p w14:paraId="780C79B6" w14:textId="77777777" w:rsidR="00B1693E" w:rsidRPr="0068656E" w:rsidRDefault="00B1693E" w:rsidP="00ED4EE3">
            <w:pPr>
              <w:spacing w:line="480" w:lineRule="auto"/>
              <w:jc w:val="both"/>
              <w:rPr>
                <w:rFonts w:ascii="Times New Roman" w:hAnsi="Times New Roman" w:cs="Times New Roman"/>
              </w:rPr>
            </w:pPr>
            <w:r w:rsidRPr="0068656E">
              <w:rPr>
                <w:rFonts w:ascii="Times New Roman" w:hAnsi="Times New Roman" w:cs="Times New Roman"/>
              </w:rPr>
              <w:t xml:space="preserve">Neto </w:t>
            </w:r>
            <w:r w:rsidR="00FE7A29">
              <w:rPr>
                <w:rFonts w:ascii="Times New Roman" w:hAnsi="Times New Roman" w:cs="Times New Roman"/>
              </w:rPr>
              <w:t>and</w:t>
            </w:r>
            <w:r w:rsidRPr="0068656E">
              <w:rPr>
                <w:rFonts w:ascii="Times New Roman" w:hAnsi="Times New Roman" w:cs="Times New Roman"/>
              </w:rPr>
              <w:t xml:space="preserve"> Costa (2005)</w:t>
            </w:r>
          </w:p>
        </w:tc>
        <w:tc>
          <w:tcPr>
            <w:tcW w:w="5492" w:type="dxa"/>
            <w:tcBorders>
              <w:right w:val="nil"/>
            </w:tcBorders>
            <w:shd w:val="clear" w:color="auto" w:fill="auto"/>
          </w:tcPr>
          <w:p w14:paraId="11A62824" w14:textId="77777777" w:rsidR="00B1693E" w:rsidRPr="0068656E" w:rsidRDefault="002433C4" w:rsidP="00ED4EE3">
            <w:pPr>
              <w:jc w:val="both"/>
              <w:rPr>
                <w:rFonts w:ascii="Times New Roman" w:hAnsi="Times New Roman" w:cs="Times New Roman"/>
                <w:lang w:val="en-US"/>
              </w:rPr>
            </w:pPr>
            <w:r w:rsidRPr="0068656E">
              <w:rPr>
                <w:rFonts w:ascii="Times New Roman" w:hAnsi="Times New Roman" w:cs="Times New Roman"/>
                <w:lang w:val="en-US"/>
              </w:rPr>
              <w:t>On the contrary of official statistics that demonstrated a livestock GDP of 7</w:t>
            </w:r>
            <w:r w:rsidR="00B7224E">
              <w:rPr>
                <w:rFonts w:ascii="Times New Roman" w:hAnsi="Times New Roman" w:cs="Times New Roman"/>
                <w:lang w:val="en-US"/>
              </w:rPr>
              <w:t>.</w:t>
            </w:r>
            <w:r w:rsidRPr="0068656E">
              <w:rPr>
                <w:rFonts w:ascii="Times New Roman" w:hAnsi="Times New Roman" w:cs="Times New Roman"/>
                <w:lang w:val="en-US"/>
              </w:rPr>
              <w:t>5%</w:t>
            </w:r>
            <w:r w:rsidR="002C10EB" w:rsidRPr="0068656E">
              <w:rPr>
                <w:rFonts w:ascii="Times New Roman" w:hAnsi="Times New Roman" w:cs="Times New Roman"/>
                <w:lang w:val="en-US"/>
              </w:rPr>
              <w:t>, the authors showed that the agro-livestock in Pernambuco had, e</w:t>
            </w:r>
            <w:r w:rsidR="00B7224E">
              <w:rPr>
                <w:rFonts w:ascii="Times New Roman" w:hAnsi="Times New Roman" w:cs="Times New Roman"/>
                <w:lang w:val="en-US"/>
              </w:rPr>
              <w:t>ffectively, participation of 21.</w:t>
            </w:r>
            <w:r w:rsidR="002C10EB" w:rsidRPr="0068656E">
              <w:rPr>
                <w:rFonts w:ascii="Times New Roman" w:hAnsi="Times New Roman" w:cs="Times New Roman"/>
                <w:lang w:val="en-US"/>
              </w:rPr>
              <w:t>2% in the GDP of this state in 1999.</w:t>
            </w:r>
          </w:p>
        </w:tc>
      </w:tr>
      <w:tr w:rsidR="00B1693E" w:rsidRPr="00F153A8" w14:paraId="109DAC63" w14:textId="77777777" w:rsidTr="00ED4EE3">
        <w:tc>
          <w:tcPr>
            <w:tcW w:w="3227" w:type="dxa"/>
            <w:tcBorders>
              <w:left w:val="nil"/>
            </w:tcBorders>
            <w:shd w:val="clear" w:color="auto" w:fill="auto"/>
          </w:tcPr>
          <w:p w14:paraId="00EBA61F" w14:textId="77777777" w:rsidR="00B1693E" w:rsidRPr="0068656E" w:rsidRDefault="00B1693E" w:rsidP="00ED4EE3">
            <w:pPr>
              <w:spacing w:line="480" w:lineRule="auto"/>
              <w:jc w:val="both"/>
              <w:rPr>
                <w:rFonts w:ascii="Times New Roman" w:hAnsi="Times New Roman" w:cs="Times New Roman"/>
              </w:rPr>
            </w:pPr>
            <w:r w:rsidRPr="0068656E">
              <w:rPr>
                <w:rFonts w:ascii="Times New Roman" w:hAnsi="Times New Roman" w:cs="Times New Roman"/>
              </w:rPr>
              <w:t xml:space="preserve">Finamore </w:t>
            </w:r>
            <w:r w:rsidR="00FE7A29">
              <w:rPr>
                <w:rFonts w:ascii="Times New Roman" w:hAnsi="Times New Roman" w:cs="Times New Roman"/>
              </w:rPr>
              <w:t>and</w:t>
            </w:r>
            <w:r w:rsidRPr="0068656E">
              <w:rPr>
                <w:rFonts w:ascii="Times New Roman" w:hAnsi="Times New Roman" w:cs="Times New Roman"/>
              </w:rPr>
              <w:t xml:space="preserve"> Montoya (2005)</w:t>
            </w:r>
          </w:p>
        </w:tc>
        <w:tc>
          <w:tcPr>
            <w:tcW w:w="5492" w:type="dxa"/>
            <w:tcBorders>
              <w:right w:val="nil"/>
            </w:tcBorders>
            <w:shd w:val="clear" w:color="auto" w:fill="auto"/>
          </w:tcPr>
          <w:p w14:paraId="6B50AA2F" w14:textId="77777777" w:rsidR="00B1693E" w:rsidRPr="0068656E" w:rsidRDefault="008D68E8" w:rsidP="00ED4EE3">
            <w:pPr>
              <w:jc w:val="both"/>
              <w:rPr>
                <w:rFonts w:ascii="Times New Roman" w:hAnsi="Times New Roman" w:cs="Times New Roman"/>
                <w:lang w:val="en-US"/>
              </w:rPr>
            </w:pPr>
            <w:r w:rsidRPr="0068656E">
              <w:rPr>
                <w:rFonts w:ascii="Times New Roman" w:hAnsi="Times New Roman" w:cs="Times New Roman"/>
                <w:lang w:val="en-US"/>
              </w:rPr>
              <w:t>The results</w:t>
            </w:r>
            <w:r w:rsidR="002C10EB" w:rsidRPr="0068656E">
              <w:rPr>
                <w:rFonts w:ascii="Times New Roman" w:hAnsi="Times New Roman" w:cs="Times New Roman"/>
                <w:lang w:val="en-US"/>
              </w:rPr>
              <w:t xml:space="preserve"> pointed that the dairy farming GDP in the Rio Grande do Sul i</w:t>
            </w:r>
            <w:r w:rsidR="00B7224E">
              <w:rPr>
                <w:rFonts w:ascii="Times New Roman" w:hAnsi="Times New Roman" w:cs="Times New Roman"/>
                <w:lang w:val="en-US"/>
              </w:rPr>
              <w:t>n 1998 had a participation of 6.77%, employing 5.</w:t>
            </w:r>
            <w:r w:rsidR="002C10EB" w:rsidRPr="0068656E">
              <w:rPr>
                <w:rFonts w:ascii="Times New Roman" w:hAnsi="Times New Roman" w:cs="Times New Roman"/>
                <w:lang w:val="en-US"/>
              </w:rPr>
              <w:t>07% of people</w:t>
            </w:r>
            <w:r w:rsidR="00B7224E">
              <w:rPr>
                <w:rFonts w:ascii="Times New Roman" w:hAnsi="Times New Roman" w:cs="Times New Roman"/>
                <w:lang w:val="en-US"/>
              </w:rPr>
              <w:t xml:space="preserve"> occupied in agribusiness and 2.</w:t>
            </w:r>
            <w:r w:rsidR="002C10EB" w:rsidRPr="0068656E">
              <w:rPr>
                <w:rFonts w:ascii="Times New Roman" w:hAnsi="Times New Roman" w:cs="Times New Roman"/>
                <w:lang w:val="en-US"/>
              </w:rPr>
              <w:t xml:space="preserve">42% of the state’s workers. </w:t>
            </w:r>
          </w:p>
        </w:tc>
      </w:tr>
      <w:tr w:rsidR="00B1693E" w:rsidRPr="00F153A8" w14:paraId="25A4E023" w14:textId="77777777" w:rsidTr="00ED4EE3">
        <w:tc>
          <w:tcPr>
            <w:tcW w:w="3227" w:type="dxa"/>
            <w:tcBorders>
              <w:left w:val="nil"/>
            </w:tcBorders>
            <w:shd w:val="clear" w:color="auto" w:fill="auto"/>
          </w:tcPr>
          <w:p w14:paraId="0BEB12C8" w14:textId="77777777" w:rsidR="00B1693E" w:rsidRPr="0068656E" w:rsidRDefault="00B1693E"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Guilhoto et al. (2006)</w:t>
            </w:r>
          </w:p>
        </w:tc>
        <w:tc>
          <w:tcPr>
            <w:tcW w:w="5492" w:type="dxa"/>
            <w:tcBorders>
              <w:right w:val="nil"/>
            </w:tcBorders>
            <w:shd w:val="clear" w:color="auto" w:fill="auto"/>
          </w:tcPr>
          <w:p w14:paraId="543C3AB4" w14:textId="77777777" w:rsidR="00B1693E" w:rsidRPr="0068656E" w:rsidRDefault="00B7224E" w:rsidP="00ED4EE3">
            <w:pPr>
              <w:jc w:val="both"/>
              <w:rPr>
                <w:rFonts w:ascii="Times New Roman" w:hAnsi="Times New Roman" w:cs="Times New Roman"/>
                <w:lang w:val="en-US"/>
              </w:rPr>
            </w:pPr>
            <w:r>
              <w:rPr>
                <w:rFonts w:ascii="Times New Roman" w:hAnsi="Times New Roman" w:cs="Times New Roman"/>
                <w:lang w:val="en-US"/>
              </w:rPr>
              <w:t>The authors highlighted that 33.</w:t>
            </w:r>
            <w:r w:rsidR="002C10EB" w:rsidRPr="0068656E">
              <w:rPr>
                <w:rFonts w:ascii="Times New Roman" w:hAnsi="Times New Roman" w:cs="Times New Roman"/>
                <w:lang w:val="en-US"/>
              </w:rPr>
              <w:t>3% in Brazil’s agribusiness, 1995 to 2003, was originated from family agro-livestock, pointing that the growth of this agroindustrial complex overcame the rate of employer segment in recent years.</w:t>
            </w:r>
          </w:p>
        </w:tc>
      </w:tr>
      <w:tr w:rsidR="00B1693E" w:rsidRPr="00F153A8" w14:paraId="38D77FF7" w14:textId="77777777" w:rsidTr="00ED4EE3">
        <w:tc>
          <w:tcPr>
            <w:tcW w:w="3227" w:type="dxa"/>
            <w:tcBorders>
              <w:left w:val="nil"/>
            </w:tcBorders>
            <w:shd w:val="clear" w:color="auto" w:fill="auto"/>
          </w:tcPr>
          <w:p w14:paraId="413762E6" w14:textId="77777777" w:rsidR="00B1693E" w:rsidRPr="0068656E" w:rsidRDefault="00B1693E"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Guilhoto et al. (2007)</w:t>
            </w:r>
          </w:p>
        </w:tc>
        <w:tc>
          <w:tcPr>
            <w:tcW w:w="5492" w:type="dxa"/>
            <w:tcBorders>
              <w:right w:val="nil"/>
            </w:tcBorders>
            <w:shd w:val="clear" w:color="auto" w:fill="auto"/>
          </w:tcPr>
          <w:p w14:paraId="04D9F6A3" w14:textId="77777777" w:rsidR="00B1693E" w:rsidRPr="0068656E" w:rsidRDefault="008D68E8" w:rsidP="00ED4EE3">
            <w:pPr>
              <w:jc w:val="both"/>
              <w:rPr>
                <w:rFonts w:ascii="Times New Roman" w:hAnsi="Times New Roman" w:cs="Times New Roman"/>
                <w:lang w:val="en-US"/>
              </w:rPr>
            </w:pPr>
            <w:r w:rsidRPr="0068656E">
              <w:rPr>
                <w:rFonts w:ascii="Times New Roman" w:hAnsi="Times New Roman" w:cs="Times New Roman"/>
                <w:lang w:val="en-US"/>
              </w:rPr>
              <w:t>The authors</w:t>
            </w:r>
            <w:r w:rsidR="002C10EB" w:rsidRPr="0068656E">
              <w:rPr>
                <w:rFonts w:ascii="Times New Roman" w:hAnsi="Times New Roman" w:cs="Times New Roman"/>
                <w:lang w:val="en-US"/>
              </w:rPr>
              <w:t xml:space="preserve"> proved that agribusiness participation in the period of 1990-2005 in Brazil and Ba</w:t>
            </w:r>
            <w:r w:rsidR="00B7224E">
              <w:rPr>
                <w:rFonts w:ascii="Times New Roman" w:hAnsi="Times New Roman" w:cs="Times New Roman"/>
                <w:lang w:val="en-US"/>
              </w:rPr>
              <w:t>hia’s GDP was, respectively, 27.85% and 28.</w:t>
            </w:r>
            <w:r w:rsidR="002C10EB" w:rsidRPr="0068656E">
              <w:rPr>
                <w:rFonts w:ascii="Times New Roman" w:hAnsi="Times New Roman" w:cs="Times New Roman"/>
                <w:lang w:val="en-US"/>
              </w:rPr>
              <w:t xml:space="preserve">82%. </w:t>
            </w:r>
            <w:r w:rsidR="00AE276A" w:rsidRPr="0068656E">
              <w:rPr>
                <w:rFonts w:ascii="Times New Roman" w:hAnsi="Times New Roman" w:cs="Times New Roman"/>
                <w:lang w:val="en-US"/>
              </w:rPr>
              <w:t>On the other hand, the participation of sub-complexes in</w:t>
            </w:r>
            <w:r w:rsidR="00B7224E">
              <w:rPr>
                <w:rFonts w:ascii="Times New Roman" w:hAnsi="Times New Roman" w:cs="Times New Roman"/>
                <w:lang w:val="en-US"/>
              </w:rPr>
              <w:t xml:space="preserve"> Bahia was: a) agriculture – 73.48% e b) livestock – 26.</w:t>
            </w:r>
            <w:r w:rsidR="00AE276A" w:rsidRPr="0068656E">
              <w:rPr>
                <w:rFonts w:ascii="Times New Roman" w:hAnsi="Times New Roman" w:cs="Times New Roman"/>
                <w:lang w:val="en-US"/>
              </w:rPr>
              <w:t>52%. The results</w:t>
            </w:r>
            <w:r w:rsidR="00B7224E">
              <w:rPr>
                <w:rFonts w:ascii="Times New Roman" w:hAnsi="Times New Roman" w:cs="Times New Roman"/>
                <w:lang w:val="en-US"/>
              </w:rPr>
              <w:t xml:space="preserve"> by segment were: a) inputs – 6.</w:t>
            </w:r>
            <w:r w:rsidR="00AE276A" w:rsidRPr="0068656E">
              <w:rPr>
                <w:rFonts w:ascii="Times New Roman" w:hAnsi="Times New Roman" w:cs="Times New Roman"/>
                <w:lang w:val="en-US"/>
              </w:rPr>
              <w:t>35%;</w:t>
            </w:r>
            <w:r w:rsidR="00B7224E">
              <w:rPr>
                <w:rFonts w:ascii="Times New Roman" w:hAnsi="Times New Roman" w:cs="Times New Roman"/>
                <w:lang w:val="en-US"/>
              </w:rPr>
              <w:t xml:space="preserve"> b) agro-livestock – 44.17%; c) industry – 22.</w:t>
            </w:r>
            <w:r w:rsidR="00AE276A" w:rsidRPr="0068656E">
              <w:rPr>
                <w:rFonts w:ascii="Times New Roman" w:hAnsi="Times New Roman" w:cs="Times New Roman"/>
                <w:lang w:val="en-US"/>
              </w:rPr>
              <w:t xml:space="preserve">39% and </w:t>
            </w:r>
            <w:r w:rsidR="00B7224E">
              <w:rPr>
                <w:rFonts w:ascii="Times New Roman" w:hAnsi="Times New Roman" w:cs="Times New Roman"/>
                <w:lang w:val="en-US"/>
              </w:rPr>
              <w:t>d) services e distribution – 27.</w:t>
            </w:r>
            <w:r w:rsidR="00AE276A" w:rsidRPr="0068656E">
              <w:rPr>
                <w:rFonts w:ascii="Times New Roman" w:hAnsi="Times New Roman" w:cs="Times New Roman"/>
                <w:lang w:val="en-US"/>
              </w:rPr>
              <w:t>04%.</w:t>
            </w:r>
          </w:p>
        </w:tc>
      </w:tr>
      <w:tr w:rsidR="00B1693E" w:rsidRPr="00F153A8" w14:paraId="3D515081" w14:textId="77777777" w:rsidTr="00ED4EE3">
        <w:tc>
          <w:tcPr>
            <w:tcW w:w="3227" w:type="dxa"/>
            <w:tcBorders>
              <w:left w:val="nil"/>
            </w:tcBorders>
            <w:shd w:val="clear" w:color="auto" w:fill="auto"/>
          </w:tcPr>
          <w:p w14:paraId="3E54FBC6" w14:textId="77777777" w:rsidR="00B1693E" w:rsidRPr="00EF5424" w:rsidRDefault="00B1693E" w:rsidP="00ED4EE3">
            <w:pPr>
              <w:spacing w:line="480" w:lineRule="auto"/>
              <w:jc w:val="both"/>
              <w:rPr>
                <w:rFonts w:ascii="Times New Roman" w:hAnsi="Times New Roman" w:cs="Times New Roman"/>
              </w:rPr>
            </w:pPr>
            <w:r w:rsidRPr="00EF5424">
              <w:rPr>
                <w:rFonts w:ascii="Times New Roman" w:hAnsi="Times New Roman" w:cs="Times New Roman"/>
              </w:rPr>
              <w:t>Cruz</w:t>
            </w:r>
            <w:r w:rsidR="00EF5424" w:rsidRPr="00EF5424">
              <w:rPr>
                <w:rFonts w:ascii="Times New Roman" w:hAnsi="Times New Roman" w:cs="Times New Roman"/>
              </w:rPr>
              <w:t xml:space="preserve"> et al.</w:t>
            </w:r>
            <w:r w:rsidR="00EF5424">
              <w:rPr>
                <w:rFonts w:ascii="Times New Roman" w:hAnsi="Times New Roman" w:cs="Times New Roman"/>
              </w:rPr>
              <w:t xml:space="preserve"> </w:t>
            </w:r>
            <w:r w:rsidRPr="00EF5424">
              <w:rPr>
                <w:rFonts w:ascii="Times New Roman" w:hAnsi="Times New Roman" w:cs="Times New Roman"/>
              </w:rPr>
              <w:t>(2009)</w:t>
            </w:r>
          </w:p>
        </w:tc>
        <w:tc>
          <w:tcPr>
            <w:tcW w:w="5492" w:type="dxa"/>
            <w:tcBorders>
              <w:right w:val="nil"/>
            </w:tcBorders>
            <w:shd w:val="clear" w:color="auto" w:fill="auto"/>
          </w:tcPr>
          <w:p w14:paraId="5D4BBAFC" w14:textId="77777777" w:rsidR="00B1693E" w:rsidRPr="0068656E" w:rsidRDefault="00AE276A" w:rsidP="00ED4EE3">
            <w:pPr>
              <w:jc w:val="both"/>
              <w:rPr>
                <w:rFonts w:ascii="Times New Roman" w:hAnsi="Times New Roman" w:cs="Times New Roman"/>
                <w:lang w:val="en-US"/>
              </w:rPr>
            </w:pPr>
            <w:r w:rsidRPr="0068656E">
              <w:rPr>
                <w:rFonts w:ascii="Times New Roman" w:hAnsi="Times New Roman" w:cs="Times New Roman"/>
                <w:lang w:val="en-US"/>
              </w:rPr>
              <w:t>The authors demonstrated that Minas Gerai</w:t>
            </w:r>
            <w:r w:rsidR="00B7224E">
              <w:rPr>
                <w:rFonts w:ascii="Times New Roman" w:hAnsi="Times New Roman" w:cs="Times New Roman"/>
                <w:lang w:val="en-US"/>
              </w:rPr>
              <w:t>s’s agribusiness represented 29.</w:t>
            </w:r>
            <w:r w:rsidRPr="0068656E">
              <w:rPr>
                <w:rFonts w:ascii="Times New Roman" w:hAnsi="Times New Roman" w:cs="Times New Roman"/>
                <w:lang w:val="en-US"/>
              </w:rPr>
              <w:t>76%</w:t>
            </w:r>
            <w:r w:rsidR="00B7224E">
              <w:rPr>
                <w:rFonts w:ascii="Times New Roman" w:hAnsi="Times New Roman" w:cs="Times New Roman"/>
                <w:lang w:val="en-US"/>
              </w:rPr>
              <w:t xml:space="preserve"> of the GDP of the state, and 9.</w:t>
            </w:r>
            <w:r w:rsidRPr="0068656E">
              <w:rPr>
                <w:rFonts w:ascii="Times New Roman" w:hAnsi="Times New Roman" w:cs="Times New Roman"/>
                <w:lang w:val="en-US"/>
              </w:rPr>
              <w:t>6% of Brazilian agribusiness GDP. The participation of sectors in agribusiness in Minas Gerais had the following distri</w:t>
            </w:r>
            <w:r w:rsidR="00B7224E">
              <w:rPr>
                <w:rFonts w:ascii="Times New Roman" w:hAnsi="Times New Roman" w:cs="Times New Roman"/>
                <w:lang w:val="en-US"/>
              </w:rPr>
              <w:t>bution: a) input suppliers – 20.73%; b) agro-livestock – 27.</w:t>
            </w:r>
            <w:r w:rsidRPr="0068656E">
              <w:rPr>
                <w:rFonts w:ascii="Times New Roman" w:hAnsi="Times New Roman" w:cs="Times New Roman"/>
                <w:lang w:val="en-US"/>
              </w:rPr>
              <w:t>53% and c) processing, industrialization and distributi</w:t>
            </w:r>
            <w:r w:rsidR="00B7224E">
              <w:rPr>
                <w:rFonts w:ascii="Times New Roman" w:hAnsi="Times New Roman" w:cs="Times New Roman"/>
                <w:lang w:val="en-US"/>
              </w:rPr>
              <w:t>on obtained participation of 51.</w:t>
            </w:r>
            <w:r w:rsidRPr="0068656E">
              <w:rPr>
                <w:rFonts w:ascii="Times New Roman" w:hAnsi="Times New Roman" w:cs="Times New Roman"/>
                <w:lang w:val="en-US"/>
              </w:rPr>
              <w:t xml:space="preserve">75%. </w:t>
            </w:r>
          </w:p>
        </w:tc>
      </w:tr>
    </w:tbl>
    <w:p w14:paraId="738A4179" w14:textId="77777777" w:rsidR="00B1693E" w:rsidRPr="0068656E" w:rsidRDefault="00B1693E" w:rsidP="00ED4EE3">
      <w:pPr>
        <w:spacing w:line="480" w:lineRule="auto"/>
        <w:jc w:val="both"/>
        <w:rPr>
          <w:rFonts w:ascii="Times New Roman" w:hAnsi="Times New Roman" w:cs="Times New Roman"/>
          <w:lang w:val="en-US"/>
        </w:rPr>
      </w:pPr>
    </w:p>
    <w:p w14:paraId="19FEAC48" w14:textId="77777777" w:rsidR="00BE6A17" w:rsidRPr="0068656E" w:rsidRDefault="00BE6A17" w:rsidP="00ED4EE3">
      <w:pPr>
        <w:jc w:val="both"/>
        <w:rPr>
          <w:rFonts w:ascii="Times New Roman" w:hAnsi="Times New Roman" w:cs="Times New Roman"/>
          <w:b/>
          <w:lang w:val="en-US"/>
        </w:rPr>
      </w:pPr>
      <w:r w:rsidRPr="0068656E">
        <w:rPr>
          <w:rFonts w:ascii="Times New Roman" w:hAnsi="Times New Roman" w:cs="Times New Roman"/>
          <w:b/>
          <w:lang w:val="en-US"/>
        </w:rPr>
        <w:lastRenderedPageBreak/>
        <w:t>3 Agribusiness and theories of input-output analysis</w:t>
      </w:r>
    </w:p>
    <w:p w14:paraId="5A23FA3B" w14:textId="77777777" w:rsidR="0013537B" w:rsidRPr="0068656E" w:rsidRDefault="0013537B" w:rsidP="00ED4EE3">
      <w:pPr>
        <w:jc w:val="both"/>
        <w:rPr>
          <w:rFonts w:ascii="Times New Roman" w:hAnsi="Times New Roman" w:cs="Times New Roman"/>
          <w:b/>
          <w:lang w:val="en-US"/>
        </w:rPr>
      </w:pPr>
    </w:p>
    <w:p w14:paraId="31438C7D" w14:textId="77777777" w:rsidR="0013537B" w:rsidRPr="0068656E" w:rsidRDefault="0013537B" w:rsidP="00ED4EE3">
      <w:pPr>
        <w:spacing w:line="480" w:lineRule="auto"/>
        <w:jc w:val="both"/>
        <w:rPr>
          <w:rFonts w:ascii="Times New Roman" w:hAnsi="Times New Roman" w:cs="Times New Roman"/>
          <w:lang w:val="en-US"/>
        </w:rPr>
      </w:pPr>
      <w:r w:rsidRPr="0068656E">
        <w:rPr>
          <w:rFonts w:ascii="Times New Roman" w:hAnsi="Times New Roman" w:cs="Times New Roman"/>
          <w:b/>
          <w:lang w:val="en-US"/>
        </w:rPr>
        <w:tab/>
      </w:r>
      <w:r w:rsidRPr="0068656E">
        <w:rPr>
          <w:rFonts w:ascii="Times New Roman" w:hAnsi="Times New Roman" w:cs="Times New Roman"/>
          <w:lang w:val="en-US"/>
        </w:rPr>
        <w:t xml:space="preserve">Making use of input-output </w:t>
      </w:r>
      <w:r w:rsidR="006568FA" w:rsidRPr="0068656E">
        <w:rPr>
          <w:rFonts w:ascii="Times New Roman" w:hAnsi="Times New Roman" w:cs="Times New Roman"/>
          <w:lang w:val="en-US"/>
        </w:rPr>
        <w:t xml:space="preserve">matrices </w:t>
      </w:r>
      <w:r w:rsidRPr="0068656E">
        <w:rPr>
          <w:rFonts w:ascii="Times New Roman" w:hAnsi="Times New Roman" w:cs="Times New Roman"/>
          <w:lang w:val="en-US"/>
        </w:rPr>
        <w:t>techniques developed in 1930 by Leontief, Davis</w:t>
      </w:r>
      <w:r w:rsidR="002759A1" w:rsidRPr="0068656E">
        <w:rPr>
          <w:rFonts w:ascii="Times New Roman" w:hAnsi="Times New Roman" w:cs="Times New Roman"/>
          <w:lang w:val="en-US"/>
        </w:rPr>
        <w:t xml:space="preserve"> and Goldberg (1956) who analyzed upstream and downstream activities in the North-American agro-livestock and perceived that these activities grew more than the agro-livestock itself in th</w:t>
      </w:r>
      <w:r w:rsidR="00212C55" w:rsidRPr="0068656E">
        <w:rPr>
          <w:rFonts w:ascii="Times New Roman" w:hAnsi="Times New Roman" w:cs="Times New Roman"/>
          <w:lang w:val="en-US"/>
        </w:rPr>
        <w:t>e period of 1910, 1947 and 1965 and, in this sense, they created the term Agribusiness – which represents the sum of all activities connected to agro-livestock.</w:t>
      </w:r>
    </w:p>
    <w:p w14:paraId="07717633" w14:textId="77777777" w:rsidR="00212C55" w:rsidRPr="0068656E" w:rsidRDefault="00212C55"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Right after this systemic perspective, agro-livestock started to represent the core of a broader economic system that was denominated Agribusiness or Agroindustrial Complex (AIC). Under this new perspective, the analysis started to decompose agribusiness in aggregates according to the distribution of the value added by each one of these segments.</w:t>
      </w:r>
    </w:p>
    <w:p w14:paraId="26D02D63" w14:textId="77777777" w:rsidR="00212C55" w:rsidRPr="0068656E" w:rsidRDefault="00212C55"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In this sense, the sugar and alcohol agribusiness in the Northeast and Brazil gathers two intertwined sectors: aggregate I (industry that supplies capital goods and inputs to agro-livestock), aggregate II (agro-livestock), aggregate III (processing and industrialization of agro-livestock goods) and aggregate IV (distribution of agro-livestock goods).</w:t>
      </w:r>
    </w:p>
    <w:p w14:paraId="1B6A04E9" w14:textId="77777777" w:rsidR="00212C55" w:rsidRPr="0068656E" w:rsidRDefault="00212C55"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 xml:space="preserve">It is important to highlight that this systemic perspective is part of a natural </w:t>
      </w:r>
      <w:r w:rsidR="004953BA" w:rsidRPr="0068656E">
        <w:rPr>
          <w:rFonts w:ascii="Times New Roman" w:hAnsi="Times New Roman" w:cs="Times New Roman"/>
          <w:lang w:val="en-US"/>
        </w:rPr>
        <w:t>processes suffered</w:t>
      </w:r>
      <w:r w:rsidRPr="0068656E">
        <w:rPr>
          <w:rFonts w:ascii="Times New Roman" w:hAnsi="Times New Roman" w:cs="Times New Roman"/>
          <w:lang w:val="en-US"/>
        </w:rPr>
        <w:t xml:space="preserve"> by rural proprieties all over the world</w:t>
      </w:r>
      <w:r w:rsidR="0066216B" w:rsidRPr="0068656E">
        <w:rPr>
          <w:rFonts w:ascii="Times New Roman" w:hAnsi="Times New Roman" w:cs="Times New Roman"/>
          <w:lang w:val="en-US"/>
        </w:rPr>
        <w:t>, considering that the</w:t>
      </w:r>
      <w:r w:rsidR="004953BA" w:rsidRPr="0068656E">
        <w:rPr>
          <w:rFonts w:ascii="Times New Roman" w:hAnsi="Times New Roman" w:cs="Times New Roman"/>
          <w:lang w:val="en-US"/>
        </w:rPr>
        <w:t>se properties were responsible</w:t>
      </w:r>
      <w:r w:rsidR="0066216B" w:rsidRPr="0068656E">
        <w:rPr>
          <w:rFonts w:ascii="Times New Roman" w:hAnsi="Times New Roman" w:cs="Times New Roman"/>
          <w:lang w:val="en-US"/>
        </w:rPr>
        <w:t xml:space="preserve"> not only </w:t>
      </w:r>
      <w:r w:rsidR="004953BA" w:rsidRPr="0068656E">
        <w:rPr>
          <w:rFonts w:ascii="Times New Roman" w:hAnsi="Times New Roman" w:cs="Times New Roman"/>
          <w:lang w:val="en-US"/>
        </w:rPr>
        <w:t xml:space="preserve">for all activities evolving agro-livestock, </w:t>
      </w:r>
      <w:r w:rsidR="0066216B" w:rsidRPr="0068656E">
        <w:rPr>
          <w:rFonts w:ascii="Times New Roman" w:hAnsi="Times New Roman" w:cs="Times New Roman"/>
          <w:lang w:val="en-US"/>
        </w:rPr>
        <w:t xml:space="preserve">but also </w:t>
      </w:r>
      <w:r w:rsidR="004953BA" w:rsidRPr="0068656E">
        <w:rPr>
          <w:rFonts w:ascii="Times New Roman" w:hAnsi="Times New Roman" w:cs="Times New Roman"/>
          <w:lang w:val="en-US"/>
        </w:rPr>
        <w:t>for the production of seeds and animals for traction (those that characterize inputs as capital goods)</w:t>
      </w:r>
      <w:r w:rsidR="0066216B" w:rsidRPr="0068656E">
        <w:rPr>
          <w:rFonts w:ascii="Times New Roman" w:hAnsi="Times New Roman" w:cs="Times New Roman"/>
          <w:lang w:val="en-US"/>
        </w:rPr>
        <w:t>, for</w:t>
      </w:r>
      <w:r w:rsidR="004953BA" w:rsidRPr="0068656E">
        <w:rPr>
          <w:rFonts w:ascii="Times New Roman" w:hAnsi="Times New Roman" w:cs="Times New Roman"/>
          <w:lang w:val="en-US"/>
        </w:rPr>
        <w:t xml:space="preserve"> the tools used for agro-livestock</w:t>
      </w:r>
      <w:r w:rsidR="0066216B" w:rsidRPr="0068656E">
        <w:rPr>
          <w:rFonts w:ascii="Times New Roman" w:hAnsi="Times New Roman" w:cs="Times New Roman"/>
          <w:lang w:val="en-US"/>
        </w:rPr>
        <w:t xml:space="preserve"> and for their on methods of transporting the production.</w:t>
      </w:r>
    </w:p>
    <w:p w14:paraId="4D4B1F3B" w14:textId="77777777" w:rsidR="002F7EDA" w:rsidRPr="0068656E" w:rsidRDefault="0066216B"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 xml:space="preserve">Thus, it may be stated that rural properties were practically self-sufficient and, therefore, they were denominated as primary sector of the economy. Nevertheless, due to </w:t>
      </w:r>
      <w:r w:rsidRPr="0068656E">
        <w:rPr>
          <w:rFonts w:ascii="Times New Roman" w:hAnsi="Times New Roman" w:cs="Times New Roman"/>
          <w:lang w:val="en-US"/>
        </w:rPr>
        <w:lastRenderedPageBreak/>
        <w:t>changes such as: i) increasing urbanization of the regions (countries/states); ii) economic growth and development and iii) technological revolution in agriculture the post-war (worldwide), the properties contributed for the rural producer to dedicate only and exclusively to agricultural and agro-livestock activities, tha</w:t>
      </w:r>
      <w:r w:rsidR="007711C1" w:rsidRPr="0068656E">
        <w:rPr>
          <w:rFonts w:ascii="Times New Roman" w:hAnsi="Times New Roman" w:cs="Times New Roman"/>
          <w:lang w:val="en-US"/>
        </w:rPr>
        <w:t>t</w:t>
      </w:r>
      <w:r w:rsidRPr="0068656E">
        <w:rPr>
          <w:rFonts w:ascii="Times New Roman" w:hAnsi="Times New Roman" w:cs="Times New Roman"/>
          <w:lang w:val="en-US"/>
        </w:rPr>
        <w:t xml:space="preserve"> is, to the specialization of the cattleman.</w:t>
      </w:r>
    </w:p>
    <w:p w14:paraId="55FA0A4D" w14:textId="77777777" w:rsidR="002F7EDA" w:rsidRPr="0068656E" w:rsidRDefault="002F7EDA"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In this sense, the </w:t>
      </w:r>
      <w:r w:rsidR="00AC71F2" w:rsidRPr="0068656E">
        <w:rPr>
          <w:rFonts w:ascii="Times New Roman" w:hAnsi="Times New Roman" w:cs="Times New Roman"/>
          <w:lang w:val="en-US"/>
        </w:rPr>
        <w:t>other</w:t>
      </w:r>
      <w:r w:rsidRPr="0068656E">
        <w:rPr>
          <w:rFonts w:ascii="Times New Roman" w:hAnsi="Times New Roman" w:cs="Times New Roman"/>
          <w:lang w:val="en-US"/>
        </w:rPr>
        <w:t xml:space="preserve"> activities started to be </w:t>
      </w:r>
      <w:r w:rsidR="00AC71F2" w:rsidRPr="0068656E">
        <w:rPr>
          <w:rFonts w:ascii="Times New Roman" w:hAnsi="Times New Roman" w:cs="Times New Roman"/>
          <w:lang w:val="en-US"/>
        </w:rPr>
        <w:t>developed</w:t>
      </w:r>
      <w:r w:rsidRPr="0068656E">
        <w:rPr>
          <w:rFonts w:ascii="Times New Roman" w:hAnsi="Times New Roman" w:cs="Times New Roman"/>
          <w:lang w:val="en-US"/>
        </w:rPr>
        <w:t xml:space="preserve"> out of the rural </w:t>
      </w:r>
      <w:r w:rsidR="00AC71F2" w:rsidRPr="0068656E">
        <w:rPr>
          <w:rFonts w:ascii="Times New Roman" w:hAnsi="Times New Roman" w:cs="Times New Roman"/>
          <w:lang w:val="en-US"/>
        </w:rPr>
        <w:t>properties</w:t>
      </w:r>
      <w:r w:rsidRPr="0068656E">
        <w:rPr>
          <w:rFonts w:ascii="Times New Roman" w:hAnsi="Times New Roman" w:cs="Times New Roman"/>
          <w:lang w:val="en-US"/>
        </w:rPr>
        <w:t xml:space="preserve">, </w:t>
      </w:r>
      <w:r w:rsidR="00AC71F2" w:rsidRPr="0068656E">
        <w:rPr>
          <w:rFonts w:ascii="Times New Roman" w:hAnsi="Times New Roman" w:cs="Times New Roman"/>
          <w:lang w:val="en-US"/>
        </w:rPr>
        <w:t>but, they are connected to these properties. Under a new scenario, it appears bonds linking the upstream operations, core (agro-</w:t>
      </w:r>
      <w:r w:rsidR="00825737" w:rsidRPr="0068656E">
        <w:rPr>
          <w:rFonts w:ascii="Times New Roman" w:hAnsi="Times New Roman" w:cs="Times New Roman"/>
          <w:lang w:val="en-US"/>
        </w:rPr>
        <w:t>livestock</w:t>
      </w:r>
      <w:r w:rsidR="00AC71F2" w:rsidRPr="0068656E">
        <w:rPr>
          <w:rFonts w:ascii="Times New Roman" w:hAnsi="Times New Roman" w:cs="Times New Roman"/>
          <w:lang w:val="en-US"/>
        </w:rPr>
        <w:t>) and downstream and, thus, the food system starts to be denominated agribusiness.</w:t>
      </w:r>
    </w:p>
    <w:p w14:paraId="746A0D14" w14:textId="77777777" w:rsidR="00AC71F2" w:rsidRPr="0068656E" w:rsidRDefault="00AC71F2"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In front of what was exposed above, this article has theoretical framework according to studies of Leontief in 1930 such as the input-output matrix. Since the agribusiness has strong bonds of interdependency between sectors (upstream, core and downstream), it is possible to base on the economic theory </w:t>
      </w:r>
      <w:r w:rsidR="001F6F30" w:rsidRPr="0068656E">
        <w:rPr>
          <w:rFonts w:ascii="Times New Roman" w:hAnsi="Times New Roman" w:cs="Times New Roman"/>
          <w:lang w:val="en-US"/>
        </w:rPr>
        <w:t>of general balance in order to carry out an analysis on the interrelations of the activities of the sugar and alcohol AIC, concentrating on the circular flow theory.</w:t>
      </w:r>
    </w:p>
    <w:p w14:paraId="2384A1B1" w14:textId="77777777" w:rsidR="001F6F30" w:rsidRPr="0068656E" w:rsidRDefault="001F6F30"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Considering that one of the main information on the input-output analysis is the data on the production of inter-sectors flows, Leontief developed the input-output matrix to study the relations that occur inside one country’s economy in function of the observable basic sectoral interdependencies, basing on the general interdependency classic theory that considers the full economy of one region, a country and whole world, as a simple system.</w:t>
      </w:r>
    </w:p>
    <w:p w14:paraId="323BCCA8" w14:textId="77777777" w:rsidR="001F6F30" w:rsidRPr="0068656E" w:rsidRDefault="001F6F30"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The analysis </w:t>
      </w:r>
      <w:r w:rsidR="008D5C67" w:rsidRPr="0068656E">
        <w:rPr>
          <w:rFonts w:ascii="Times New Roman" w:hAnsi="Times New Roman" w:cs="Times New Roman"/>
          <w:lang w:val="en-US"/>
        </w:rPr>
        <w:t>on the input-output matrix also u</w:t>
      </w:r>
      <w:r w:rsidRPr="0068656E">
        <w:rPr>
          <w:rFonts w:ascii="Times New Roman" w:hAnsi="Times New Roman" w:cs="Times New Roman"/>
          <w:lang w:val="en-US"/>
        </w:rPr>
        <w:t>ses</w:t>
      </w:r>
      <w:r w:rsidR="008D5C67" w:rsidRPr="0068656E">
        <w:rPr>
          <w:rFonts w:ascii="Times New Roman" w:hAnsi="Times New Roman" w:cs="Times New Roman"/>
          <w:lang w:val="en-US"/>
        </w:rPr>
        <w:t xml:space="preserve"> a set of coefficients that determine the level of interdependency in sectors of a specific economy and also denominated technical coefficients of production</w:t>
      </w:r>
      <w:r w:rsidR="004F5918">
        <w:rPr>
          <w:rFonts w:ascii="Times New Roman" w:hAnsi="Times New Roman" w:cs="Times New Roman"/>
          <w:lang w:val="en-US"/>
        </w:rPr>
        <w:t xml:space="preserve">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ij</m:t>
                </m:r>
              </m:sub>
            </m:sSub>
          </m:e>
        </m:d>
      </m:oMath>
      <w:r w:rsidR="008D5C67" w:rsidRPr="0068656E">
        <w:rPr>
          <w:rFonts w:ascii="Times New Roman" w:hAnsi="Times New Roman" w:cs="Times New Roman"/>
          <w:lang w:val="en-US"/>
        </w:rPr>
        <w:t xml:space="preserve">. However, this matrix has been adapted to study inter-sectors relations of regions/states. Both at country level and </w:t>
      </w:r>
      <w:r w:rsidR="008D5C67" w:rsidRPr="0068656E">
        <w:rPr>
          <w:rFonts w:ascii="Times New Roman" w:hAnsi="Times New Roman" w:cs="Times New Roman"/>
          <w:lang w:val="en-US"/>
        </w:rPr>
        <w:lastRenderedPageBreak/>
        <w:t xml:space="preserve">region/state, the basic model makes use of the articulation by groups of sectors in order to measure the impact on the </w:t>
      </w:r>
      <w:r w:rsidR="008D5C67" w:rsidRPr="00FE7A29">
        <w:rPr>
          <w:rFonts w:ascii="Times New Roman" w:hAnsi="Times New Roman" w:cs="Times New Roman"/>
          <w:lang w:val="en-US"/>
        </w:rPr>
        <w:t>economy</w:t>
      </w:r>
      <w:r w:rsidR="00FE7A29" w:rsidRPr="00FE7A29">
        <w:rPr>
          <w:rStyle w:val="Refdenotaderodap"/>
          <w:rFonts w:ascii="Times New Roman" w:hAnsi="Times New Roman" w:cs="Times New Roman"/>
          <w:lang w:val="en-US"/>
        </w:rPr>
        <w:footnoteReference w:id="1"/>
      </w:r>
      <w:r w:rsidR="008D5C67" w:rsidRPr="0068656E">
        <w:rPr>
          <w:rFonts w:ascii="Times New Roman" w:hAnsi="Times New Roman" w:cs="Times New Roman"/>
          <w:lang w:val="en-US"/>
        </w:rPr>
        <w:t xml:space="preserve">, as a whole, occasioned by changes suffered on the final demand or any other </w:t>
      </w:r>
      <w:r w:rsidR="008D5C67" w:rsidRPr="00FE7A29">
        <w:rPr>
          <w:rFonts w:ascii="Times New Roman" w:hAnsi="Times New Roman" w:cs="Times New Roman"/>
          <w:lang w:val="en-US"/>
        </w:rPr>
        <w:t>component</w:t>
      </w:r>
      <w:r w:rsidR="00FE7A29" w:rsidRPr="00FE7A29">
        <w:rPr>
          <w:rStyle w:val="Refdenotaderodap"/>
          <w:rFonts w:ascii="Times New Roman" w:hAnsi="Times New Roman" w:cs="Times New Roman"/>
          <w:lang w:val="en-US"/>
        </w:rPr>
        <w:footnoteReference w:id="2"/>
      </w:r>
      <w:r w:rsidR="008D5C67" w:rsidRPr="0068656E">
        <w:rPr>
          <w:rFonts w:ascii="Times New Roman" w:hAnsi="Times New Roman" w:cs="Times New Roman"/>
          <w:lang w:val="en-US"/>
        </w:rPr>
        <w:t xml:space="preserve"> of it.</w:t>
      </w:r>
    </w:p>
    <w:p w14:paraId="677E0FD3" w14:textId="77777777" w:rsidR="008D5C67" w:rsidRPr="0068656E" w:rsidRDefault="008D5C67"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The operation of one economy can be summarized as being a problem of equating between offer and demand, that is, a question of general balance. Therefore, at the same time that the sectors offer goods and services to other sectors of economy, </w:t>
      </w:r>
      <w:r w:rsidR="00825737" w:rsidRPr="0068656E">
        <w:rPr>
          <w:rFonts w:ascii="Times New Roman" w:hAnsi="Times New Roman" w:cs="Times New Roman"/>
          <w:lang w:val="en-US"/>
        </w:rPr>
        <w:t>those (sectors offers) also demand goods and services from others sectors, demonstrating in this way as the sectors relate to each other (directly or indirectly).</w:t>
      </w:r>
    </w:p>
    <w:p w14:paraId="6A321034" w14:textId="77777777" w:rsidR="00825737" w:rsidRPr="0068656E" w:rsidRDefault="00191694"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One of the most important assumptions on the analysis of the input-output matrix is that the flow of input from sector</w:t>
      </w:r>
      <w:r w:rsidR="00BA45C5">
        <w:rPr>
          <w:rFonts w:ascii="Times New Roman" w:hAnsi="Times New Roman" w:cs="Times New Roman"/>
          <w:lang w:val="en-US"/>
        </w:rPr>
        <w:t xml:space="preserve"> </w:t>
      </w:r>
      <m:oMath>
        <m:r>
          <w:rPr>
            <w:rFonts w:ascii="Cambria Math" w:hAnsi="Cambria Math" w:cs="Times New Roman"/>
            <w:lang w:val="en-US"/>
          </w:rPr>
          <m:t>i</m:t>
        </m:r>
      </m:oMath>
      <w:r w:rsidRPr="0068656E">
        <w:rPr>
          <w:rFonts w:ascii="Times New Roman" w:hAnsi="Times New Roman" w:cs="Times New Roman"/>
          <w:lang w:val="en-US"/>
        </w:rPr>
        <w:t xml:space="preserve"> to sector</w:t>
      </w:r>
      <w:r w:rsidR="00BA45C5">
        <w:rPr>
          <w:rFonts w:ascii="Times New Roman" w:hAnsi="Times New Roman" w:cs="Times New Roman"/>
          <w:lang w:val="en-US"/>
        </w:rPr>
        <w:t xml:space="preserve"> </w:t>
      </w:r>
      <m:oMath>
        <m:r>
          <w:rPr>
            <w:rFonts w:ascii="Cambria Math" w:hAnsi="Cambria Math" w:cs="Times New Roman"/>
            <w:lang w:val="en-US"/>
          </w:rPr>
          <m:t>j</m:t>
        </m:r>
      </m:oMath>
      <w:r w:rsidRPr="0068656E">
        <w:rPr>
          <w:rFonts w:ascii="Times New Roman" w:hAnsi="Times New Roman" w:cs="Times New Roman"/>
          <w:lang w:val="en-US"/>
        </w:rPr>
        <w:t>, that is, the inter-sector flow, depends exclusively on the level of total production of this last sector. In this sense, the level of interdependency between sectors</w:t>
      </w:r>
      <w:r w:rsidR="004518AA">
        <w:rPr>
          <w:rFonts w:ascii="Times New Roman" w:hAnsi="Times New Roman" w:cs="Times New Roman"/>
          <w:lang w:val="en-US"/>
        </w:rPr>
        <w:t xml:space="preserve"> </w:t>
      </w:r>
      <m:oMath>
        <m:r>
          <w:rPr>
            <w:rFonts w:ascii="Cambria Math" w:hAnsi="Cambria Math" w:cs="Times New Roman"/>
            <w:lang w:val="en-US"/>
          </w:rPr>
          <m:t>i</m:t>
        </m:r>
      </m:oMath>
      <w:r w:rsidR="004518AA">
        <w:rPr>
          <w:rFonts w:ascii="Times New Roman" w:hAnsi="Times New Roman" w:cs="Times New Roman"/>
          <w:lang w:val="en-US"/>
        </w:rPr>
        <w:t xml:space="preserve"> </w:t>
      </w:r>
      <w:r w:rsidRPr="0068656E">
        <w:rPr>
          <w:rFonts w:ascii="Times New Roman" w:hAnsi="Times New Roman" w:cs="Times New Roman"/>
          <w:lang w:val="en-US"/>
        </w:rPr>
        <w:t>and</w:t>
      </w:r>
      <w:r w:rsidR="004518AA">
        <w:rPr>
          <w:rFonts w:ascii="Times New Roman" w:hAnsi="Times New Roman" w:cs="Times New Roman"/>
          <w:lang w:val="en-US"/>
        </w:rPr>
        <w:t xml:space="preserve"> </w:t>
      </w:r>
      <m:oMath>
        <m:r>
          <w:rPr>
            <w:rFonts w:ascii="Cambria Math" w:hAnsi="Cambria Math" w:cs="Times New Roman"/>
            <w:lang w:val="en-US"/>
          </w:rPr>
          <m:t>j</m:t>
        </m:r>
      </m:oMath>
      <w:r w:rsidR="004518AA">
        <w:rPr>
          <w:rFonts w:ascii="Times New Roman" w:hAnsi="Times New Roman" w:cs="Times New Roman"/>
          <w:lang w:val="en-US"/>
        </w:rPr>
        <w:t xml:space="preserve"> </w:t>
      </w:r>
      <w:r w:rsidRPr="0068656E">
        <w:rPr>
          <w:rFonts w:ascii="Times New Roman" w:hAnsi="Times New Roman" w:cs="Times New Roman"/>
          <w:lang w:val="en-US"/>
        </w:rPr>
        <w:t>is equal to the reason</w:t>
      </w:r>
      <w:r w:rsidR="004518AA">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ij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j</m:t>
            </m:r>
          </m:sub>
        </m:sSub>
      </m:oMath>
      <w:r w:rsidRPr="0068656E">
        <w:rPr>
          <w:rFonts w:ascii="Times New Roman" w:hAnsi="Times New Roman" w:cs="Times New Roman"/>
          <w:lang w:val="en-US"/>
        </w:rPr>
        <w:t>. This is,</w:t>
      </w:r>
    </w:p>
    <w:tbl>
      <w:tblPr>
        <w:tblStyle w:val="Tabelacomgrade"/>
        <w:tblW w:w="8557" w:type="dxa"/>
        <w:jc w:val="center"/>
        <w:tblLook w:val="04A0" w:firstRow="1" w:lastRow="0" w:firstColumn="1" w:lastColumn="0" w:noHBand="0" w:noVBand="1"/>
      </w:tblPr>
      <w:tblGrid>
        <w:gridCol w:w="7933"/>
        <w:gridCol w:w="624"/>
      </w:tblGrid>
      <w:tr w:rsidR="00F33216" w14:paraId="37E888C0" w14:textId="77777777" w:rsidTr="005B25D7">
        <w:trPr>
          <w:jc w:val="center"/>
        </w:trPr>
        <w:tc>
          <w:tcPr>
            <w:tcW w:w="7933" w:type="dxa"/>
          </w:tcPr>
          <w:p w14:paraId="0839CBEA" w14:textId="77777777" w:rsidR="00F33216" w:rsidRDefault="003949D9" w:rsidP="00ED4EE3">
            <w:pPr>
              <w:jc w:val="both"/>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ij</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ij</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den>
                </m:f>
              </m:oMath>
            </m:oMathPara>
          </w:p>
        </w:tc>
        <w:tc>
          <w:tcPr>
            <w:tcW w:w="624" w:type="dxa"/>
            <w:vAlign w:val="center"/>
          </w:tcPr>
          <w:p w14:paraId="27AD2170" w14:textId="77777777" w:rsidR="00F33216" w:rsidRDefault="00F33216" w:rsidP="00F33216">
            <w:pPr>
              <w:jc w:val="center"/>
              <w:rPr>
                <w:rFonts w:ascii="Times New Roman" w:hAnsi="Times New Roman" w:cs="Times New Roman"/>
                <w:lang w:val="en-US"/>
              </w:rPr>
            </w:pPr>
            <w:r>
              <w:rPr>
                <w:rFonts w:ascii="Times New Roman" w:hAnsi="Times New Roman" w:cs="Times New Roman"/>
                <w:lang w:val="en-US"/>
              </w:rPr>
              <w:t>(1)</w:t>
            </w:r>
          </w:p>
        </w:tc>
      </w:tr>
    </w:tbl>
    <w:p w14:paraId="6ED2F707" w14:textId="77777777" w:rsidR="00F33216" w:rsidRPr="0068656E" w:rsidRDefault="00F33216" w:rsidP="00ED4EE3">
      <w:pPr>
        <w:jc w:val="both"/>
        <w:rPr>
          <w:rFonts w:ascii="Times New Roman" w:hAnsi="Times New Roman" w:cs="Times New Roman"/>
          <w:lang w:val="en-US"/>
        </w:rPr>
      </w:pPr>
    </w:p>
    <w:p w14:paraId="2E5BBA1C" w14:textId="77777777" w:rsidR="00191694" w:rsidRPr="0068656E" w:rsidRDefault="00191694"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where</w:t>
      </w:r>
      <w:r w:rsidR="00F33216">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ij</m:t>
            </m:r>
          </m:sub>
        </m:sSub>
      </m:oMath>
      <w:r w:rsidR="00F33216">
        <w:rPr>
          <w:rFonts w:ascii="Times New Roman" w:hAnsi="Times New Roman" w:cs="Times New Roman"/>
          <w:lang w:val="en-US"/>
        </w:rPr>
        <w:t xml:space="preserve"> </w:t>
      </w:r>
      <w:r w:rsidRPr="0068656E">
        <w:rPr>
          <w:rFonts w:ascii="Times New Roman" w:hAnsi="Times New Roman" w:cs="Times New Roman"/>
          <w:lang w:val="en-US"/>
        </w:rPr>
        <w:t>is the coefficient that determines the interdependency between the sectors</w:t>
      </w:r>
      <w:r w:rsidR="00F33216">
        <w:rPr>
          <w:rFonts w:ascii="Times New Roman" w:hAnsi="Times New Roman" w:cs="Times New Roman"/>
          <w:lang w:val="en-US"/>
        </w:rPr>
        <w:t xml:space="preserve"> </w:t>
      </w:r>
      <m:oMath>
        <m:r>
          <w:rPr>
            <w:rFonts w:ascii="Cambria Math" w:hAnsi="Cambria Math" w:cs="Times New Roman"/>
            <w:lang w:val="en-US"/>
          </w:rPr>
          <m:t>i</m:t>
        </m:r>
      </m:oMath>
      <w:r w:rsidRPr="0068656E">
        <w:rPr>
          <w:rFonts w:ascii="Times New Roman" w:hAnsi="Times New Roman" w:cs="Times New Roman"/>
          <w:lang w:val="en-US"/>
        </w:rPr>
        <w:t xml:space="preserve"> and</w:t>
      </w:r>
      <w:r w:rsidR="00F33216">
        <w:rPr>
          <w:rFonts w:ascii="Times New Roman" w:hAnsi="Times New Roman" w:cs="Times New Roman"/>
          <w:lang w:val="en-US"/>
        </w:rPr>
        <w:t xml:space="preserve"> </w:t>
      </w:r>
      <m:oMath>
        <m:r>
          <w:rPr>
            <w:rFonts w:ascii="Cambria Math" w:hAnsi="Cambria Math" w:cs="Times New Roman"/>
            <w:lang w:val="en-US"/>
          </w:rPr>
          <m:t>j</m:t>
        </m:r>
      </m:oMath>
      <w:r w:rsidRPr="0068656E">
        <w:rPr>
          <w:rFonts w:ascii="Times New Roman" w:hAnsi="Times New Roman" w:cs="Times New Roman"/>
          <w:lang w:val="en-US"/>
        </w:rPr>
        <w:t>;</w:t>
      </w:r>
      <w:r w:rsidR="00F33216">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ij</m:t>
            </m:r>
          </m:sub>
        </m:sSub>
      </m:oMath>
      <w:r w:rsidR="00F33216">
        <w:rPr>
          <w:rFonts w:ascii="Times New Roman" w:hAnsi="Times New Roman" w:cs="Times New Roman"/>
          <w:lang w:val="en-US"/>
        </w:rPr>
        <w:t xml:space="preserve"> </w:t>
      </w:r>
      <w:r w:rsidRPr="0068656E">
        <w:rPr>
          <w:rFonts w:ascii="Times New Roman" w:hAnsi="Times New Roman" w:cs="Times New Roman"/>
          <w:lang w:val="en-US"/>
        </w:rPr>
        <w:t xml:space="preserve">characterizes the </w:t>
      </w:r>
      <w:r w:rsidR="00EA42C9" w:rsidRPr="0068656E">
        <w:rPr>
          <w:rFonts w:ascii="Times New Roman" w:hAnsi="Times New Roman" w:cs="Times New Roman"/>
          <w:lang w:val="en-US"/>
        </w:rPr>
        <w:t>input</w:t>
      </w:r>
      <w:r w:rsidRPr="0068656E">
        <w:rPr>
          <w:rFonts w:ascii="Times New Roman" w:hAnsi="Times New Roman" w:cs="Times New Roman"/>
          <w:lang w:val="en-US"/>
        </w:rPr>
        <w:t xml:space="preserve"> flow from</w:t>
      </w:r>
      <w:r w:rsidR="00F33216">
        <w:rPr>
          <w:rFonts w:ascii="Times New Roman" w:hAnsi="Times New Roman" w:cs="Times New Roman"/>
          <w:lang w:val="en-US"/>
        </w:rPr>
        <w:t xml:space="preserve"> </w:t>
      </w:r>
      <m:oMath>
        <m:r>
          <w:rPr>
            <w:rFonts w:ascii="Cambria Math" w:hAnsi="Cambria Math" w:cs="Times New Roman"/>
            <w:lang w:val="en-US"/>
          </w:rPr>
          <m:t>i</m:t>
        </m:r>
      </m:oMath>
      <w:r w:rsidRPr="0068656E">
        <w:rPr>
          <w:rFonts w:ascii="Times New Roman" w:hAnsi="Times New Roman" w:cs="Times New Roman"/>
          <w:lang w:val="en-US"/>
        </w:rPr>
        <w:t xml:space="preserve"> to</w:t>
      </w:r>
      <w:r w:rsidR="00F33216">
        <w:rPr>
          <w:rFonts w:ascii="Times New Roman" w:hAnsi="Times New Roman" w:cs="Times New Roman"/>
          <w:lang w:val="en-US"/>
        </w:rPr>
        <w:t xml:space="preserve"> </w:t>
      </w:r>
      <m:oMath>
        <m:r>
          <w:rPr>
            <w:rFonts w:ascii="Cambria Math" w:hAnsi="Cambria Math" w:cs="Times New Roman"/>
            <w:lang w:val="en-US"/>
          </w:rPr>
          <m:t>j</m:t>
        </m:r>
      </m:oMath>
      <w:r w:rsidR="00F33216">
        <w:rPr>
          <w:rFonts w:ascii="Times New Roman" w:hAnsi="Times New Roman" w:cs="Times New Roman"/>
          <w:lang w:val="en-US"/>
        </w:rPr>
        <w:t xml:space="preserve"> </w:t>
      </w:r>
      <w:r w:rsidRPr="0068656E">
        <w:rPr>
          <w:rFonts w:ascii="Times New Roman" w:hAnsi="Times New Roman" w:cs="Times New Roman"/>
          <w:lang w:val="en-US"/>
        </w:rPr>
        <w:t>and</w:t>
      </w:r>
      <w:r w:rsidR="00F33216">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j</m:t>
            </m:r>
          </m:sub>
        </m:sSub>
      </m:oMath>
      <w:r w:rsidR="00F33216">
        <w:rPr>
          <w:rFonts w:ascii="Times New Roman" w:hAnsi="Times New Roman" w:cs="Times New Roman"/>
          <w:lang w:val="en-US"/>
        </w:rPr>
        <w:t xml:space="preserve"> </w:t>
      </w:r>
      <w:r w:rsidRPr="0068656E">
        <w:rPr>
          <w:rFonts w:ascii="Times New Roman" w:hAnsi="Times New Roman" w:cs="Times New Roman"/>
          <w:lang w:val="en-US"/>
        </w:rPr>
        <w:t>the level of production in the sector</w:t>
      </w:r>
      <w:r w:rsidR="00F33216">
        <w:rPr>
          <w:rFonts w:ascii="Times New Roman" w:hAnsi="Times New Roman" w:cs="Times New Roman"/>
          <w:lang w:val="en-US"/>
        </w:rPr>
        <w:t xml:space="preserve"> </w:t>
      </w:r>
      <m:oMath>
        <m:r>
          <w:rPr>
            <w:rFonts w:ascii="Cambria Math" w:hAnsi="Cambria Math" w:cs="Times New Roman"/>
            <w:lang w:val="en-US"/>
          </w:rPr>
          <m:t>j</m:t>
        </m:r>
      </m:oMath>
      <w:r w:rsidRPr="0068656E">
        <w:rPr>
          <w:rFonts w:ascii="Times New Roman" w:hAnsi="Times New Roman" w:cs="Times New Roman"/>
          <w:lang w:val="en-US"/>
        </w:rPr>
        <w:t>.</w:t>
      </w:r>
    </w:p>
    <w:p w14:paraId="53C56191" w14:textId="77777777" w:rsidR="00191694" w:rsidRDefault="00191694"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However, when considering the intermediate consumption of input by units of the final product as being fixed, there is the open system</w:t>
      </w:r>
      <w:r w:rsidR="007B17C2">
        <w:rPr>
          <w:rStyle w:val="Refdenotaderodap"/>
          <w:rFonts w:ascii="Times New Roman" w:hAnsi="Times New Roman" w:cs="Times New Roman"/>
          <w:lang w:val="en-US"/>
        </w:rPr>
        <w:footnoteReference w:id="3"/>
      </w:r>
      <w:r w:rsidRPr="0068656E">
        <w:rPr>
          <w:rFonts w:ascii="Times New Roman" w:hAnsi="Times New Roman" w:cs="Times New Roman"/>
          <w:lang w:val="en-US"/>
        </w:rPr>
        <w:t xml:space="preserve"> of Leontief given by:</w:t>
      </w:r>
    </w:p>
    <w:tbl>
      <w:tblPr>
        <w:tblStyle w:val="Tabelacomgrade"/>
        <w:tblW w:w="8557" w:type="dxa"/>
        <w:jc w:val="center"/>
        <w:tblLook w:val="04A0" w:firstRow="1" w:lastRow="0" w:firstColumn="1" w:lastColumn="0" w:noHBand="0" w:noVBand="1"/>
      </w:tblPr>
      <w:tblGrid>
        <w:gridCol w:w="7933"/>
        <w:gridCol w:w="624"/>
      </w:tblGrid>
      <w:tr w:rsidR="00405832" w14:paraId="4CBFE71C" w14:textId="77777777" w:rsidTr="005B25D7">
        <w:trPr>
          <w:jc w:val="center"/>
        </w:trPr>
        <w:tc>
          <w:tcPr>
            <w:tcW w:w="7933" w:type="dxa"/>
          </w:tcPr>
          <w:p w14:paraId="7A0A1AE9" w14:textId="77777777" w:rsidR="00405832" w:rsidRDefault="003949D9" w:rsidP="005543C8">
            <w:pPr>
              <w:jc w:val="both"/>
              <w:rPr>
                <w:rFonts w:ascii="Times New Roman" w:hAnsi="Times New Roman" w:cs="Times New Roman"/>
                <w:lang w:val="en-US"/>
              </w:rPr>
            </w:pPr>
            <m:oMathPara>
              <m:oMath>
                <m:nary>
                  <m:naryPr>
                    <m:chr m:val="∑"/>
                    <m:limLoc m:val="undOvr"/>
                    <m:ctrlPr>
                      <w:rPr>
                        <w:rFonts w:ascii="Cambria Math" w:hAnsi="Cambria Math" w:cs="Times New Roman"/>
                        <w:i/>
                        <w:lang w:val="en-US"/>
                      </w:rPr>
                    </m:ctrlPr>
                  </m:naryPr>
                  <m:sub>
                    <m:r>
                      <w:rPr>
                        <w:rFonts w:ascii="Cambria Math" w:hAnsi="Cambria Math" w:cs="Times New Roman"/>
                        <w:lang w:val="en-US"/>
                      </w:rPr>
                      <m:t>j=1</m:t>
                    </m:r>
                  </m:sub>
                  <m:sup>
                    <m:r>
                      <w:rPr>
                        <w:rFonts w:ascii="Cambria Math" w:hAnsi="Cambria Math" w:cs="Times New Roman"/>
                        <w:lang w:val="en-US"/>
                      </w:rPr>
                      <m:t>n</m:t>
                    </m:r>
                  </m:sup>
                  <m:e>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ij</m:t>
                        </m:r>
                      </m:sub>
                    </m:s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r>
                      <w:rPr>
                        <w:rFonts w:ascii="Cambria Math" w:hAnsi="Cambria Math" w:cs="Times New Roman"/>
                        <w:lang w:val="en-US"/>
                      </w:rPr>
                      <m:t>+</m:t>
                    </m:r>
                    <m:sSub>
                      <m:sSubPr>
                        <m:ctrlPr>
                          <w:rPr>
                            <w:rFonts w:ascii="Cambria Math" w:hAnsi="Cambria Math" w:cs="Times New Roman"/>
                            <w:i/>
                            <w:lang w:val="en-US"/>
                          </w:rPr>
                        </m:ctrlPr>
                      </m:sSubPr>
                      <m:e>
                        <m:r>
                          <m:rPr>
                            <m:sty m:val="p"/>
                          </m:rPr>
                          <w:rPr>
                            <w:rFonts w:ascii="Cambria Math" w:hAnsi="Cambria Math" w:cs="Times New Roman"/>
                            <w:lang w:val="en-US"/>
                          </w:rPr>
                          <m:t>Γ</m:t>
                        </m:r>
                      </m:e>
                      <m:sub>
                        <m:r>
                          <w:rPr>
                            <w:rFonts w:ascii="Cambria Math" w:hAnsi="Cambria Math" w:cs="Times New Roman"/>
                            <w:lang w:val="en-US"/>
                          </w:rPr>
                          <m:t>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e>
                </m:nary>
                <m:r>
                  <w:rPr>
                    <w:rFonts w:ascii="Cambria Math" w:hAnsi="Cambria Math" w:cs="Times New Roman"/>
                    <w:lang w:val="en-US"/>
                  </w:rPr>
                  <m:t xml:space="preserve">          i=1,…, n;</m:t>
                </m:r>
              </m:oMath>
            </m:oMathPara>
          </w:p>
        </w:tc>
        <w:tc>
          <w:tcPr>
            <w:tcW w:w="624" w:type="dxa"/>
            <w:vAlign w:val="center"/>
          </w:tcPr>
          <w:p w14:paraId="02C7F99E" w14:textId="77777777" w:rsidR="00405832" w:rsidRDefault="00A80971" w:rsidP="005543C8">
            <w:pPr>
              <w:jc w:val="center"/>
              <w:rPr>
                <w:rFonts w:ascii="Times New Roman" w:hAnsi="Times New Roman" w:cs="Times New Roman"/>
                <w:lang w:val="en-US"/>
              </w:rPr>
            </w:pPr>
            <w:r>
              <w:rPr>
                <w:rFonts w:ascii="Times New Roman" w:hAnsi="Times New Roman" w:cs="Times New Roman"/>
                <w:lang w:val="en-US"/>
              </w:rPr>
              <w:t>(2)</w:t>
            </w:r>
          </w:p>
        </w:tc>
      </w:tr>
    </w:tbl>
    <w:p w14:paraId="7911F3F4" w14:textId="77777777" w:rsidR="0002416E" w:rsidRPr="002B4F56" w:rsidRDefault="0002416E" w:rsidP="00ED4EE3">
      <w:pPr>
        <w:jc w:val="both"/>
        <w:rPr>
          <w:rFonts w:ascii="Times New Roman" w:hAnsi="Times New Roman" w:cs="Times New Roman"/>
        </w:rPr>
      </w:pPr>
    </w:p>
    <w:p w14:paraId="40C8DD03" w14:textId="77777777" w:rsidR="00D46579" w:rsidRPr="0068656E" w:rsidRDefault="00D46579"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lastRenderedPageBreak/>
        <w:t xml:space="preserve">where </w:t>
      </w:r>
      <m:oMath>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ij</m:t>
            </m:r>
          </m:sub>
        </m:sSub>
      </m:oMath>
      <w:r w:rsidR="00A80971">
        <w:rPr>
          <w:rFonts w:ascii="Times New Roman" w:hAnsi="Times New Roman" w:cs="Times New Roman"/>
          <w:lang w:val="en-US"/>
        </w:rPr>
        <w:t xml:space="preserve"> </w:t>
      </w:r>
      <w:r w:rsidRPr="0068656E">
        <w:rPr>
          <w:rFonts w:ascii="Times New Roman" w:hAnsi="Times New Roman" w:cs="Times New Roman"/>
          <w:lang w:val="en-US"/>
        </w:rPr>
        <w:t xml:space="preserve">represents the technical </w:t>
      </w:r>
      <w:r w:rsidR="00EA42C9" w:rsidRPr="0068656E">
        <w:rPr>
          <w:rFonts w:ascii="Times New Roman" w:hAnsi="Times New Roman" w:cs="Times New Roman"/>
          <w:lang w:val="en-US"/>
        </w:rPr>
        <w:t>coefficient</w:t>
      </w:r>
      <w:r w:rsidRPr="0068656E">
        <w:rPr>
          <w:rFonts w:ascii="Times New Roman" w:hAnsi="Times New Roman" w:cs="Times New Roman"/>
          <w:lang w:val="en-US"/>
        </w:rPr>
        <w:t xml:space="preserve"> of productions that supplies the quantity of input of the sector</w:t>
      </w:r>
      <w:r w:rsidR="00A80971">
        <w:rPr>
          <w:rFonts w:ascii="Times New Roman" w:hAnsi="Times New Roman" w:cs="Times New Roman"/>
          <w:lang w:val="en-US"/>
        </w:rPr>
        <w:t xml:space="preserve"> </w:t>
      </w:r>
      <m:oMath>
        <m:r>
          <w:rPr>
            <w:rFonts w:ascii="Cambria Math" w:hAnsi="Cambria Math" w:cs="Times New Roman"/>
            <w:lang w:val="en-US"/>
          </w:rPr>
          <m:t>i</m:t>
        </m:r>
      </m:oMath>
      <w:r w:rsidR="00A80971">
        <w:rPr>
          <w:rFonts w:ascii="Times New Roman" w:hAnsi="Times New Roman" w:cs="Times New Roman"/>
          <w:lang w:val="en-US"/>
        </w:rPr>
        <w:t xml:space="preserve"> </w:t>
      </w:r>
      <w:r w:rsidRPr="0068656E">
        <w:rPr>
          <w:rFonts w:ascii="Times New Roman" w:hAnsi="Times New Roman" w:cs="Times New Roman"/>
          <w:lang w:val="en-US"/>
        </w:rPr>
        <w:t>that is used to produce one unit of final product in the sector</w:t>
      </w:r>
      <w:r w:rsidR="00A80971">
        <w:rPr>
          <w:rFonts w:ascii="Times New Roman" w:hAnsi="Times New Roman" w:cs="Times New Roman"/>
          <w:lang w:val="en-US"/>
        </w:rPr>
        <w:t xml:space="preserve"> </w:t>
      </w:r>
      <m:oMath>
        <m:r>
          <w:rPr>
            <w:rFonts w:ascii="Cambria Math" w:hAnsi="Cambria Math" w:cs="Times New Roman"/>
            <w:lang w:val="en-US"/>
          </w:rPr>
          <m:t>j</m:t>
        </m:r>
      </m:oMath>
      <w:r w:rsidR="00A80971">
        <w:rPr>
          <w:rFonts w:ascii="Times New Roman" w:hAnsi="Times New Roman" w:cs="Times New Roman"/>
          <w:lang w:val="en-US"/>
        </w:rPr>
        <w:t xml:space="preserve">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ij</m:t>
                </m:r>
              </m:sub>
            </m:sSub>
            <m:r>
              <w:rPr>
                <w:rFonts w:ascii="Cambria Math" w:hAnsi="Cambria Math" w:cs="Times New Roman"/>
                <w:lang w:val="en-US"/>
              </w:rPr>
              <m:t xml:space="preserve">&lt;1 ou </m:t>
            </m:r>
            <m:d>
              <m:dPr>
                <m:ctrlPr>
                  <w:rPr>
                    <w:rFonts w:ascii="Cambria Math" w:hAnsi="Cambria Math" w:cs="Times New Roman"/>
                    <w:i/>
                    <w:lang w:val="en-US"/>
                  </w:rPr>
                </m:ctrlPr>
              </m:dPr>
              <m:e>
                <m:r>
                  <w:rPr>
                    <w:rFonts w:ascii="Cambria Math" w:hAnsi="Cambria Math" w:cs="Times New Roman"/>
                    <w:lang w:val="en-US"/>
                  </w:rPr>
                  <m:t>1-</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ij</m:t>
                    </m:r>
                  </m:sub>
                </m:sSub>
              </m:e>
            </m:d>
            <m:r>
              <w:rPr>
                <w:rFonts w:ascii="Cambria Math" w:hAnsi="Cambria Math" w:cs="Times New Roman"/>
                <w:lang w:val="en-US"/>
              </w:rPr>
              <m:t>&gt;1</m:t>
            </m:r>
          </m:e>
        </m:d>
      </m:oMath>
      <w:r w:rsidR="00A80971">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j</m:t>
            </m:r>
          </m:sub>
        </m:sSub>
      </m:oMath>
      <w:r w:rsidR="00A80971">
        <w:rPr>
          <w:rFonts w:ascii="Times New Roman" w:hAnsi="Times New Roman" w:cs="Times New Roman"/>
          <w:lang w:val="en-US"/>
        </w:rPr>
        <w:t xml:space="preserve"> </w:t>
      </w:r>
      <w:r w:rsidRPr="0068656E">
        <w:rPr>
          <w:rFonts w:ascii="Times New Roman" w:hAnsi="Times New Roman" w:cs="Times New Roman"/>
          <w:lang w:val="en-US"/>
        </w:rPr>
        <w:t>is the total domestic production of the sector</w:t>
      </w:r>
      <w:r w:rsidR="00A80971">
        <w:rPr>
          <w:rFonts w:ascii="Times New Roman" w:hAnsi="Times New Roman" w:cs="Times New Roman"/>
          <w:lang w:val="en-US"/>
        </w:rPr>
        <w:t xml:space="preserve"> </w:t>
      </w:r>
      <m:oMath>
        <m:r>
          <w:rPr>
            <w:rFonts w:ascii="Cambria Math" w:hAnsi="Cambria Math" w:cs="Times New Roman"/>
            <w:lang w:val="en-US"/>
          </w:rPr>
          <m:t>j</m:t>
        </m:r>
      </m:oMath>
      <w:r w:rsidR="00A80971">
        <w:rPr>
          <w:rFonts w:ascii="Times New Roman" w:hAnsi="Times New Roman" w:cs="Times New Roman"/>
          <w:lang w:val="en-US"/>
        </w:rPr>
        <w:t xml:space="preserve"> </w:t>
      </w:r>
      <w:r w:rsidRPr="0068656E">
        <w:rPr>
          <w:rFonts w:ascii="Times New Roman" w:hAnsi="Times New Roman" w:cs="Times New Roman"/>
          <w:lang w:val="en-US"/>
        </w:rPr>
        <w:t xml:space="preserve">and </w:t>
      </w:r>
      <m:oMath>
        <m:sSub>
          <m:sSubPr>
            <m:ctrlPr>
              <w:rPr>
                <w:rFonts w:ascii="Cambria Math" w:hAnsi="Cambria Math" w:cs="Times New Roman"/>
                <w:i/>
                <w:lang w:val="en-US"/>
              </w:rPr>
            </m:ctrlPr>
          </m:sSubPr>
          <m:e>
            <m:r>
              <m:rPr>
                <m:sty m:val="p"/>
              </m:rPr>
              <w:rPr>
                <w:rFonts w:ascii="Cambria Math" w:hAnsi="Cambria Math" w:cs="Times New Roman"/>
                <w:lang w:val="en-US"/>
              </w:rPr>
              <m:t>Γ</m:t>
            </m:r>
          </m:e>
          <m:sub>
            <m:r>
              <w:rPr>
                <w:rFonts w:ascii="Cambria Math" w:hAnsi="Cambria Math" w:cs="Times New Roman"/>
                <w:lang w:val="en-US"/>
              </w:rPr>
              <m:t>i</m:t>
            </m:r>
          </m:sub>
        </m:sSub>
      </m:oMath>
      <w:r w:rsidR="00A80971">
        <w:rPr>
          <w:rFonts w:ascii="Times New Roman" w:hAnsi="Times New Roman" w:cs="Times New Roman"/>
          <w:lang w:val="en-US"/>
        </w:rPr>
        <w:t xml:space="preserve"> </w:t>
      </w:r>
      <w:r w:rsidRPr="0068656E">
        <w:rPr>
          <w:rFonts w:ascii="Times New Roman" w:hAnsi="Times New Roman" w:cs="Times New Roman"/>
          <w:lang w:val="en-US"/>
        </w:rPr>
        <w:t>is the final demand of products in the sector</w:t>
      </w:r>
      <w:r w:rsidR="008B5181">
        <w:rPr>
          <w:rFonts w:ascii="Times New Roman" w:hAnsi="Times New Roman" w:cs="Times New Roman"/>
          <w:lang w:val="en-US"/>
        </w:rPr>
        <w:t xml:space="preserve"> </w:t>
      </w:r>
      <m:oMath>
        <m:r>
          <w:rPr>
            <w:rFonts w:ascii="Cambria Math" w:hAnsi="Cambria Math" w:cs="Times New Roman"/>
            <w:lang w:val="en-US"/>
          </w:rPr>
          <m:t>i</m:t>
        </m:r>
      </m:oMath>
      <w:r w:rsidRPr="0068656E">
        <w:rPr>
          <w:rFonts w:ascii="Times New Roman" w:hAnsi="Times New Roman" w:cs="Times New Roman"/>
          <w:lang w:val="en-US"/>
        </w:rPr>
        <w:t>.</w:t>
      </w:r>
    </w:p>
    <w:p w14:paraId="58B9260C" w14:textId="77777777" w:rsidR="0002416E" w:rsidRDefault="00D46579"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The equation (2) can be represented by matrix as</w:t>
      </w:r>
      <w:r w:rsidR="004427B7" w:rsidRPr="0068656E">
        <w:rPr>
          <w:rFonts w:ascii="Times New Roman" w:hAnsi="Times New Roman" w:cs="Times New Roman"/>
          <w:lang w:val="en-US"/>
        </w:rPr>
        <w:t xml:space="preserve"> it</w:t>
      </w:r>
      <w:r w:rsidRPr="0068656E">
        <w:rPr>
          <w:rFonts w:ascii="Times New Roman" w:hAnsi="Times New Roman" w:cs="Times New Roman"/>
          <w:lang w:val="en-US"/>
        </w:rPr>
        <w:t xml:space="preserve"> follow</w:t>
      </w:r>
      <w:r w:rsidR="004427B7" w:rsidRPr="0068656E">
        <w:rPr>
          <w:rFonts w:ascii="Times New Roman" w:hAnsi="Times New Roman" w:cs="Times New Roman"/>
          <w:lang w:val="en-US"/>
        </w:rPr>
        <w:t>s</w:t>
      </w:r>
      <w:r w:rsidRPr="0068656E">
        <w:rPr>
          <w:rFonts w:ascii="Times New Roman" w:hAnsi="Times New Roman" w:cs="Times New Roman"/>
          <w:lang w:val="en-US"/>
        </w:rPr>
        <w:t>:</w:t>
      </w:r>
    </w:p>
    <w:tbl>
      <w:tblPr>
        <w:tblStyle w:val="Tabelacomgrade"/>
        <w:tblW w:w="8557" w:type="dxa"/>
        <w:jc w:val="center"/>
        <w:tblLook w:val="04A0" w:firstRow="1" w:lastRow="0" w:firstColumn="1" w:lastColumn="0" w:noHBand="0" w:noVBand="1"/>
      </w:tblPr>
      <w:tblGrid>
        <w:gridCol w:w="7933"/>
        <w:gridCol w:w="624"/>
      </w:tblGrid>
      <w:tr w:rsidR="001A550E" w14:paraId="1D373938" w14:textId="77777777" w:rsidTr="005B25D7">
        <w:trPr>
          <w:trHeight w:val="624"/>
          <w:jc w:val="center"/>
        </w:trPr>
        <w:tc>
          <w:tcPr>
            <w:tcW w:w="7933" w:type="dxa"/>
            <w:vAlign w:val="center"/>
          </w:tcPr>
          <w:p w14:paraId="51F5776B" w14:textId="77777777" w:rsidR="001A550E" w:rsidRDefault="001A550E" w:rsidP="001A550E">
            <w:pPr>
              <w:jc w:val="center"/>
              <w:rPr>
                <w:rFonts w:ascii="Times New Roman" w:hAnsi="Times New Roman" w:cs="Times New Roman"/>
                <w:lang w:val="en-US"/>
              </w:rPr>
            </w:pPr>
            <m:oMathPara>
              <m:oMath>
                <m:r>
                  <w:rPr>
                    <w:rFonts w:ascii="Cambria Math" w:hAnsi="Cambria Math" w:cs="Times New Roman"/>
                    <w:lang w:val="en-US"/>
                  </w:rPr>
                  <m:t>AX+</m:t>
                </m:r>
                <m:r>
                  <m:rPr>
                    <m:sty m:val="p"/>
                  </m:rPr>
                  <w:rPr>
                    <w:rFonts w:ascii="Cambria Math" w:hAnsi="Cambria Math" w:cs="Times New Roman"/>
                    <w:lang w:val="en-US"/>
                  </w:rPr>
                  <m:t>Γ</m:t>
                </m:r>
                <m:r>
                  <w:rPr>
                    <w:rFonts w:ascii="Cambria Math" w:hAnsi="Cambria Math" w:cs="Times New Roman"/>
                    <w:lang w:val="en-US"/>
                  </w:rPr>
                  <m:t>=X;</m:t>
                </m:r>
              </m:oMath>
            </m:oMathPara>
          </w:p>
        </w:tc>
        <w:tc>
          <w:tcPr>
            <w:tcW w:w="624" w:type="dxa"/>
            <w:vAlign w:val="center"/>
          </w:tcPr>
          <w:p w14:paraId="50F334A3" w14:textId="77777777" w:rsidR="001A550E" w:rsidRDefault="001A550E" w:rsidP="001A550E">
            <w:pPr>
              <w:jc w:val="center"/>
              <w:rPr>
                <w:rFonts w:ascii="Times New Roman" w:hAnsi="Times New Roman" w:cs="Times New Roman"/>
                <w:lang w:val="en-US"/>
              </w:rPr>
            </w:pPr>
            <w:r>
              <w:rPr>
                <w:rFonts w:ascii="Times New Roman" w:hAnsi="Times New Roman" w:cs="Times New Roman"/>
                <w:lang w:val="en-US"/>
              </w:rPr>
              <w:t>(3)</w:t>
            </w:r>
          </w:p>
        </w:tc>
      </w:tr>
    </w:tbl>
    <w:p w14:paraId="6A9AD150" w14:textId="77777777" w:rsidR="00384EB0" w:rsidRDefault="00384EB0" w:rsidP="00384EB0">
      <w:pPr>
        <w:jc w:val="both"/>
        <w:rPr>
          <w:rFonts w:ascii="Times New Roman" w:hAnsi="Times New Roman" w:cs="Times New Roman"/>
        </w:rPr>
      </w:pPr>
    </w:p>
    <w:p w14:paraId="505CDE33" w14:textId="77777777" w:rsidR="00FE2AD5" w:rsidRPr="0068656E" w:rsidRDefault="00FE2AD5"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where</w:t>
      </w:r>
      <w:r w:rsidR="005543C8">
        <w:rPr>
          <w:rFonts w:ascii="Times New Roman" w:hAnsi="Times New Roman" w:cs="Times New Roman"/>
          <w:lang w:val="en-US"/>
        </w:rPr>
        <w:t xml:space="preserve"> </w:t>
      </w:r>
      <m:oMath>
        <m:r>
          <w:rPr>
            <w:rFonts w:ascii="Cambria Math" w:hAnsi="Cambria Math" w:cs="Times New Roman"/>
            <w:lang w:val="en-US"/>
          </w:rPr>
          <m:t>A</m:t>
        </m:r>
      </m:oMath>
      <w:r w:rsidR="004427B7" w:rsidRPr="0068656E">
        <w:rPr>
          <w:rFonts w:ascii="Times New Roman" w:hAnsi="Times New Roman" w:cs="Times New Roman"/>
          <w:lang w:val="en-US"/>
        </w:rPr>
        <w:t xml:space="preserve"> represents the matrix of direct</w:t>
      </w:r>
      <w:r w:rsidR="00627E1D">
        <w:rPr>
          <w:rStyle w:val="Refdenotaderodap"/>
          <w:rFonts w:ascii="Times New Roman" w:hAnsi="Times New Roman" w:cs="Times New Roman"/>
          <w:lang w:val="en-US"/>
        </w:rPr>
        <w:footnoteReference w:id="4"/>
      </w:r>
      <w:r w:rsidR="004427B7" w:rsidRPr="0068656E">
        <w:rPr>
          <w:rFonts w:ascii="Times New Roman" w:hAnsi="Times New Roman" w:cs="Times New Roman"/>
          <w:lang w:val="en-US"/>
        </w:rPr>
        <w:t xml:space="preserve"> input coefficients of </w:t>
      </w:r>
      <w:r w:rsidRPr="0068656E">
        <w:rPr>
          <w:rFonts w:ascii="Times New Roman" w:hAnsi="Times New Roman" w:cs="Times New Roman"/>
          <w:lang w:val="en-US"/>
        </w:rPr>
        <w:t>order</w:t>
      </w:r>
      <w:r w:rsidR="005543C8">
        <w:rPr>
          <w:rFonts w:ascii="Times New Roman" w:hAnsi="Times New Roman" w:cs="Times New Roman"/>
          <w:lang w:val="en-US"/>
        </w:rPr>
        <w:t xml:space="preserve"> </w:t>
      </w:r>
      <m:oMath>
        <m:d>
          <m:dPr>
            <m:ctrlPr>
              <w:rPr>
                <w:rFonts w:ascii="Cambria Math" w:hAnsi="Cambria Math" w:cs="Times New Roman"/>
                <w:i/>
                <w:lang w:val="en-US"/>
              </w:rPr>
            </m:ctrlPr>
          </m:dPr>
          <m:e>
            <m:r>
              <w:rPr>
                <w:rFonts w:ascii="Cambria Math" w:hAnsi="Cambria Math" w:cs="Times New Roman"/>
                <w:lang w:val="en-US"/>
              </w:rPr>
              <m:t>n x n</m:t>
            </m:r>
          </m:e>
        </m:d>
      </m:oMath>
      <w:r w:rsidRPr="0068656E">
        <w:rPr>
          <w:rFonts w:ascii="Times New Roman" w:hAnsi="Times New Roman" w:cs="Times New Roman"/>
          <w:lang w:val="en-US"/>
        </w:rPr>
        <w:t>;</w:t>
      </w:r>
      <w:r w:rsidR="005543C8">
        <w:rPr>
          <w:rFonts w:ascii="Times New Roman" w:hAnsi="Times New Roman" w:cs="Times New Roman"/>
          <w:lang w:val="en-US"/>
        </w:rPr>
        <w:t xml:space="preserve"> </w:t>
      </w:r>
      <m:oMath>
        <m:r>
          <w:rPr>
            <w:rFonts w:ascii="Cambria Math" w:hAnsi="Cambria Math" w:cs="Times New Roman"/>
            <w:lang w:val="en-US"/>
          </w:rPr>
          <m:t>X</m:t>
        </m:r>
      </m:oMath>
      <w:r w:rsidR="005543C8">
        <w:rPr>
          <w:rFonts w:ascii="Times New Roman" w:hAnsi="Times New Roman" w:cs="Times New Roman"/>
          <w:lang w:val="en-US"/>
        </w:rPr>
        <w:t xml:space="preserve"> </w:t>
      </w:r>
      <w:r w:rsidR="004427B7" w:rsidRPr="0068656E">
        <w:rPr>
          <w:rFonts w:ascii="Times New Roman" w:hAnsi="Times New Roman" w:cs="Times New Roman"/>
          <w:lang w:val="en-US"/>
        </w:rPr>
        <w:t>characterizes as a vector of</w:t>
      </w:r>
      <w:r w:rsidRPr="0068656E">
        <w:rPr>
          <w:rFonts w:ascii="Times New Roman" w:hAnsi="Times New Roman" w:cs="Times New Roman"/>
          <w:lang w:val="en-US"/>
        </w:rPr>
        <w:t xml:space="preserve"> order</w:t>
      </w:r>
      <w:r w:rsidR="005543C8">
        <w:rPr>
          <w:rFonts w:ascii="Times New Roman" w:hAnsi="Times New Roman" w:cs="Times New Roman"/>
          <w:lang w:val="en-US"/>
        </w:rPr>
        <w:t xml:space="preserve"> </w:t>
      </w:r>
      <m:oMath>
        <m:d>
          <m:dPr>
            <m:ctrlPr>
              <w:rPr>
                <w:rFonts w:ascii="Cambria Math" w:hAnsi="Cambria Math" w:cs="Times New Roman"/>
                <w:i/>
                <w:lang w:val="en-US"/>
              </w:rPr>
            </m:ctrlPr>
          </m:dPr>
          <m:e>
            <m:r>
              <w:rPr>
                <w:rFonts w:ascii="Cambria Math" w:hAnsi="Cambria Math" w:cs="Times New Roman"/>
                <w:lang w:val="en-US"/>
              </w:rPr>
              <m:t>n x 1</m:t>
            </m:r>
          </m:e>
        </m:d>
      </m:oMath>
      <w:r w:rsidR="004427B7" w:rsidRPr="0068656E">
        <w:rPr>
          <w:rFonts w:ascii="Times New Roman" w:hAnsi="Times New Roman" w:cs="Times New Roman"/>
          <w:lang w:val="en-US"/>
        </w:rPr>
        <w:t xml:space="preserve"> that</w:t>
      </w:r>
      <w:r w:rsidRPr="0068656E">
        <w:rPr>
          <w:rFonts w:ascii="Times New Roman" w:hAnsi="Times New Roman" w:cs="Times New Roman"/>
          <w:lang w:val="en-US"/>
        </w:rPr>
        <w:t xml:space="preserve"> represent</w:t>
      </w:r>
      <w:r w:rsidR="004427B7" w:rsidRPr="0068656E">
        <w:rPr>
          <w:rFonts w:ascii="Times New Roman" w:hAnsi="Times New Roman" w:cs="Times New Roman"/>
          <w:lang w:val="en-US"/>
        </w:rPr>
        <w:t>s</w:t>
      </w:r>
      <w:r w:rsidRPr="0068656E">
        <w:rPr>
          <w:rFonts w:ascii="Times New Roman" w:hAnsi="Times New Roman" w:cs="Times New Roman"/>
          <w:lang w:val="en-US"/>
        </w:rPr>
        <w:t xml:space="preserve"> </w:t>
      </w:r>
      <w:r w:rsidR="004427B7" w:rsidRPr="0068656E">
        <w:rPr>
          <w:rFonts w:ascii="Times New Roman" w:hAnsi="Times New Roman" w:cs="Times New Roman"/>
          <w:lang w:val="en-US"/>
        </w:rPr>
        <w:t xml:space="preserve">the gross value of </w:t>
      </w:r>
      <w:r w:rsidRPr="0068656E">
        <w:rPr>
          <w:rFonts w:ascii="Times New Roman" w:hAnsi="Times New Roman" w:cs="Times New Roman"/>
          <w:lang w:val="en-US"/>
        </w:rPr>
        <w:t>production and</w:t>
      </w:r>
      <w:r w:rsidR="005543C8">
        <w:rPr>
          <w:rFonts w:ascii="Times New Roman" w:hAnsi="Times New Roman" w:cs="Times New Roman"/>
          <w:lang w:val="en-US"/>
        </w:rPr>
        <w:t xml:space="preserve"> </w:t>
      </w:r>
      <m:oMath>
        <m:r>
          <m:rPr>
            <m:sty m:val="p"/>
          </m:rPr>
          <w:rPr>
            <w:rFonts w:ascii="Cambria Math" w:hAnsi="Cambria Math" w:cs="Times New Roman"/>
            <w:lang w:val="en-US"/>
          </w:rPr>
          <m:t>Γ</m:t>
        </m:r>
      </m:oMath>
      <w:r w:rsidRPr="0068656E">
        <w:rPr>
          <w:rFonts w:ascii="Times New Roman" w:hAnsi="Times New Roman" w:cs="Times New Roman"/>
          <w:lang w:val="en-US"/>
        </w:rPr>
        <w:t>, as well</w:t>
      </w:r>
      <w:r w:rsidR="004427B7" w:rsidRPr="0068656E">
        <w:rPr>
          <w:rFonts w:ascii="Times New Roman" w:hAnsi="Times New Roman" w:cs="Times New Roman"/>
          <w:lang w:val="en-US"/>
        </w:rPr>
        <w:t xml:space="preserve"> as</w:t>
      </w:r>
      <w:r w:rsidR="005543C8">
        <w:rPr>
          <w:rFonts w:ascii="Times New Roman" w:hAnsi="Times New Roman" w:cs="Times New Roman"/>
          <w:lang w:val="en-US"/>
        </w:rPr>
        <w:t xml:space="preserve"> </w:t>
      </w:r>
      <m:oMath>
        <m:r>
          <w:rPr>
            <w:rFonts w:ascii="Cambria Math" w:hAnsi="Cambria Math" w:cs="Times New Roman"/>
            <w:lang w:val="en-US"/>
          </w:rPr>
          <m:t>X</m:t>
        </m:r>
      </m:oMath>
      <w:r w:rsidRPr="0068656E">
        <w:rPr>
          <w:rFonts w:ascii="Times New Roman" w:hAnsi="Times New Roman" w:cs="Times New Roman"/>
          <w:lang w:val="en-US"/>
        </w:rPr>
        <w:t xml:space="preserve">, is a column vector </w:t>
      </w:r>
      <w:r w:rsidR="004427B7" w:rsidRPr="0068656E">
        <w:rPr>
          <w:rFonts w:ascii="Times New Roman" w:hAnsi="Times New Roman" w:cs="Times New Roman"/>
          <w:lang w:val="en-US"/>
        </w:rPr>
        <w:t>of order</w:t>
      </w:r>
      <w:r w:rsidR="005543C8">
        <w:rPr>
          <w:rFonts w:ascii="Times New Roman" w:hAnsi="Times New Roman" w:cs="Times New Roman"/>
          <w:lang w:val="en-US"/>
        </w:rPr>
        <w:t xml:space="preserve"> </w:t>
      </w:r>
      <m:oMath>
        <m:d>
          <m:dPr>
            <m:ctrlPr>
              <w:rPr>
                <w:rFonts w:ascii="Cambria Math" w:hAnsi="Cambria Math" w:cs="Times New Roman"/>
                <w:i/>
                <w:lang w:val="en-US"/>
              </w:rPr>
            </m:ctrlPr>
          </m:dPr>
          <m:e>
            <m:r>
              <w:rPr>
                <w:rFonts w:ascii="Cambria Math" w:hAnsi="Cambria Math" w:cs="Times New Roman"/>
                <w:lang w:val="en-US"/>
              </w:rPr>
              <m:t>n x 1</m:t>
            </m:r>
          </m:e>
        </m:d>
      </m:oMath>
      <w:r w:rsidR="005543C8">
        <w:rPr>
          <w:rFonts w:ascii="Times New Roman" w:hAnsi="Times New Roman" w:cs="Times New Roman"/>
          <w:lang w:val="en-US"/>
        </w:rPr>
        <w:t xml:space="preserve"> </w:t>
      </w:r>
      <w:r w:rsidR="004427B7" w:rsidRPr="0068656E">
        <w:rPr>
          <w:rFonts w:ascii="Times New Roman" w:hAnsi="Times New Roman" w:cs="Times New Roman"/>
          <w:lang w:val="en-US"/>
        </w:rPr>
        <w:t>that characterizes the full final demand.</w:t>
      </w:r>
    </w:p>
    <w:p w14:paraId="1DF2CA6A" w14:textId="77777777" w:rsidR="0002416E" w:rsidRDefault="004427B7"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The equation (3) above can be repr</w:t>
      </w:r>
      <w:r w:rsidR="00703CC3">
        <w:rPr>
          <w:rFonts w:ascii="Times New Roman" w:hAnsi="Times New Roman" w:cs="Times New Roman"/>
          <w:lang w:val="en-US"/>
        </w:rPr>
        <w:t>a</w:t>
      </w:r>
      <w:r w:rsidRPr="0068656E">
        <w:rPr>
          <w:rFonts w:ascii="Times New Roman" w:hAnsi="Times New Roman" w:cs="Times New Roman"/>
          <w:lang w:val="en-US"/>
        </w:rPr>
        <w:t>esented as it follows</w:t>
      </w:r>
    </w:p>
    <w:tbl>
      <w:tblPr>
        <w:tblStyle w:val="Tabelacomgrade"/>
        <w:tblW w:w="0" w:type="auto"/>
        <w:jc w:val="center"/>
        <w:tblLook w:val="04A0" w:firstRow="1" w:lastRow="0" w:firstColumn="1" w:lastColumn="0" w:noHBand="0" w:noVBand="1"/>
      </w:tblPr>
      <w:tblGrid>
        <w:gridCol w:w="7792"/>
        <w:gridCol w:w="624"/>
      </w:tblGrid>
      <w:tr w:rsidR="00703CC3" w14:paraId="1310D908" w14:textId="77777777" w:rsidTr="005B25D7">
        <w:trPr>
          <w:trHeight w:val="624"/>
          <w:jc w:val="center"/>
        </w:trPr>
        <w:tc>
          <w:tcPr>
            <w:tcW w:w="7792" w:type="dxa"/>
            <w:vAlign w:val="center"/>
          </w:tcPr>
          <w:p w14:paraId="064BFC1C" w14:textId="77777777" w:rsidR="00703CC3" w:rsidRDefault="003949D9" w:rsidP="00703CC3">
            <w:pPr>
              <w:jc w:val="center"/>
              <w:rPr>
                <w:rFonts w:ascii="Times New Roman" w:hAnsi="Times New Roman" w:cs="Times New Roman"/>
                <w:lang w:val="en-US"/>
              </w:rPr>
            </w:pPr>
            <m:oMathPara>
              <m:oMath>
                <m:d>
                  <m:dPr>
                    <m:ctrlPr>
                      <w:rPr>
                        <w:rFonts w:ascii="Cambria Math" w:hAnsi="Cambria Math" w:cs="Times New Roman"/>
                        <w:i/>
                        <w:lang w:val="en-US"/>
                      </w:rPr>
                    </m:ctrlPr>
                  </m:dPr>
                  <m:e>
                    <m:r>
                      <w:rPr>
                        <w:rFonts w:ascii="Cambria Math" w:hAnsi="Cambria Math" w:cs="Times New Roman"/>
                        <w:lang w:val="en-US"/>
                      </w:rPr>
                      <m:t>I-A</m:t>
                    </m:r>
                  </m:e>
                </m:d>
                <m:r>
                  <w:rPr>
                    <w:rFonts w:ascii="Cambria Math" w:hAnsi="Cambria Math" w:cs="Times New Roman"/>
                    <w:lang w:val="en-US"/>
                  </w:rPr>
                  <m:t>X=D;</m:t>
                </m:r>
              </m:oMath>
            </m:oMathPara>
          </w:p>
        </w:tc>
        <w:tc>
          <w:tcPr>
            <w:tcW w:w="624" w:type="dxa"/>
            <w:vAlign w:val="center"/>
          </w:tcPr>
          <w:p w14:paraId="5F2E6CCD" w14:textId="77777777" w:rsidR="00703CC3" w:rsidRDefault="00703CC3" w:rsidP="00703CC3">
            <w:pPr>
              <w:jc w:val="center"/>
              <w:rPr>
                <w:rFonts w:ascii="Times New Roman" w:hAnsi="Times New Roman" w:cs="Times New Roman"/>
                <w:lang w:val="en-US"/>
              </w:rPr>
            </w:pPr>
            <w:r>
              <w:rPr>
                <w:rFonts w:ascii="Times New Roman" w:hAnsi="Times New Roman" w:cs="Times New Roman"/>
                <w:lang w:val="en-US"/>
              </w:rPr>
              <w:t>(4)</w:t>
            </w:r>
          </w:p>
        </w:tc>
      </w:tr>
    </w:tbl>
    <w:p w14:paraId="0862B23F" w14:textId="77777777" w:rsidR="00703CC3" w:rsidRPr="0068656E" w:rsidRDefault="00703CC3" w:rsidP="00384EB0">
      <w:pPr>
        <w:jc w:val="both"/>
        <w:rPr>
          <w:rFonts w:ascii="Times New Roman" w:hAnsi="Times New Roman" w:cs="Times New Roman"/>
          <w:lang w:val="en-US"/>
        </w:rPr>
      </w:pPr>
    </w:p>
    <w:p w14:paraId="4D5CC00D" w14:textId="77777777" w:rsidR="00A51911" w:rsidRPr="0068656E" w:rsidRDefault="00A51911" w:rsidP="00ED4E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jc w:val="both"/>
        <w:rPr>
          <w:rFonts w:ascii="Times New Roman" w:eastAsia="Times New Roman" w:hAnsi="Times New Roman" w:cs="Times New Roman"/>
          <w:kern w:val="0"/>
          <w:lang w:val="en-US" w:eastAsia="pt-BR" w:bidi="ar-SA"/>
        </w:rPr>
      </w:pPr>
      <w:r w:rsidRPr="0068656E">
        <w:rPr>
          <w:rFonts w:ascii="Times New Roman" w:eastAsia="Times New Roman" w:hAnsi="Times New Roman" w:cs="Times New Roman"/>
          <w:kern w:val="0"/>
          <w:lang w:val="en" w:eastAsia="pt-BR" w:bidi="ar-SA"/>
        </w:rPr>
        <w:t xml:space="preserve">where each entry </w:t>
      </w:r>
      <m:oMath>
        <m:sSub>
          <m:sSubPr>
            <m:ctrlPr>
              <w:rPr>
                <w:rFonts w:ascii="Cambria Math" w:eastAsia="Times New Roman" w:hAnsi="Cambria Math" w:cs="Times New Roman"/>
                <w:i/>
                <w:kern w:val="0"/>
                <w:lang w:val="en" w:eastAsia="pt-BR" w:bidi="ar-SA"/>
              </w:rPr>
            </m:ctrlPr>
          </m:sSubPr>
          <m:e>
            <m:r>
              <w:rPr>
                <w:rFonts w:ascii="Cambria Math" w:eastAsia="Times New Roman" w:hAnsi="Cambria Math" w:cs="Times New Roman"/>
                <w:kern w:val="0"/>
                <w:lang w:val="en" w:eastAsia="pt-BR" w:bidi="ar-SA"/>
              </w:rPr>
              <m:t>a</m:t>
            </m:r>
          </m:e>
          <m:sub>
            <m:r>
              <w:rPr>
                <w:rFonts w:ascii="Cambria Math" w:eastAsia="Times New Roman" w:hAnsi="Cambria Math" w:cs="Times New Roman"/>
                <w:kern w:val="0"/>
                <w:lang w:val="en" w:eastAsia="pt-BR" w:bidi="ar-SA"/>
              </w:rPr>
              <m:t>ij</m:t>
            </m:r>
          </m:sub>
        </m:sSub>
      </m:oMath>
      <w:r w:rsidRPr="0068656E">
        <w:rPr>
          <w:rFonts w:ascii="Times New Roman" w:eastAsia="Times New Roman" w:hAnsi="Times New Roman" w:cs="Times New Roman"/>
          <w:kern w:val="0"/>
          <w:lang w:val="en" w:eastAsia="pt-BR" w:bidi="ar-SA"/>
        </w:rPr>
        <w:t xml:space="preserve"> of the Leontief matrix,</w:t>
      </w:r>
      <w:r w:rsidR="00703CC3">
        <w:rPr>
          <w:rFonts w:ascii="Times New Roman" w:eastAsia="Times New Roman" w:hAnsi="Times New Roman" w:cs="Times New Roman"/>
          <w:kern w:val="0"/>
          <w:lang w:val="en" w:eastAsia="pt-BR" w:bidi="ar-SA"/>
        </w:rPr>
        <w:t xml:space="preserve"> </w:t>
      </w:r>
      <m:oMath>
        <m:d>
          <m:dPr>
            <m:ctrlPr>
              <w:rPr>
                <w:rFonts w:ascii="Cambria Math" w:eastAsia="Times New Roman" w:hAnsi="Cambria Math" w:cs="Times New Roman"/>
                <w:i/>
                <w:kern w:val="0"/>
                <w:lang w:val="en" w:eastAsia="pt-BR" w:bidi="ar-SA"/>
              </w:rPr>
            </m:ctrlPr>
          </m:dPr>
          <m:e>
            <m:r>
              <w:rPr>
                <w:rFonts w:ascii="Cambria Math" w:eastAsia="Times New Roman" w:hAnsi="Cambria Math" w:cs="Times New Roman"/>
                <w:kern w:val="0"/>
                <w:lang w:val="en" w:eastAsia="pt-BR" w:bidi="ar-SA"/>
              </w:rPr>
              <m:t>I-A</m:t>
            </m:r>
          </m:e>
        </m:d>
      </m:oMath>
      <w:r w:rsidRPr="0068656E">
        <w:rPr>
          <w:rFonts w:ascii="Times New Roman" w:eastAsia="Times New Roman" w:hAnsi="Times New Roman" w:cs="Times New Roman"/>
          <w:kern w:val="0"/>
          <w:lang w:val="en" w:eastAsia="pt-BR" w:bidi="ar-SA"/>
        </w:rPr>
        <w:t xml:space="preserve">, represents the direct effects of demands </w:t>
      </w:r>
      <w:r w:rsidR="009E68BE" w:rsidRPr="0068656E">
        <w:rPr>
          <w:rFonts w:ascii="Times New Roman" w:eastAsia="Times New Roman" w:hAnsi="Times New Roman" w:cs="Times New Roman"/>
          <w:kern w:val="0"/>
          <w:lang w:val="en" w:eastAsia="pt-BR" w:bidi="ar-SA"/>
        </w:rPr>
        <w:t>in</w:t>
      </w:r>
      <w:r w:rsidRPr="0068656E">
        <w:rPr>
          <w:rFonts w:ascii="Times New Roman" w:eastAsia="Times New Roman" w:hAnsi="Times New Roman" w:cs="Times New Roman"/>
          <w:kern w:val="0"/>
          <w:lang w:val="en" w:eastAsia="pt-BR" w:bidi="ar-SA"/>
        </w:rPr>
        <w:t xml:space="preserve"> sector</w:t>
      </w:r>
      <w:r w:rsidR="00703CC3">
        <w:rPr>
          <w:rFonts w:ascii="Times New Roman" w:eastAsia="Times New Roman" w:hAnsi="Times New Roman" w:cs="Times New Roman"/>
          <w:kern w:val="0"/>
          <w:lang w:val="en" w:eastAsia="pt-BR" w:bidi="ar-SA"/>
        </w:rPr>
        <w:t xml:space="preserve"> </w:t>
      </w:r>
      <m:oMath>
        <m:r>
          <w:rPr>
            <w:rFonts w:ascii="Cambria Math" w:eastAsia="Times New Roman" w:hAnsi="Cambria Math" w:cs="Times New Roman"/>
            <w:kern w:val="0"/>
            <w:lang w:val="en" w:eastAsia="pt-BR" w:bidi="ar-SA"/>
          </w:rPr>
          <m:t>i</m:t>
        </m:r>
      </m:oMath>
      <w:r w:rsidR="00703CC3">
        <w:rPr>
          <w:rFonts w:ascii="Times New Roman" w:eastAsia="Times New Roman" w:hAnsi="Times New Roman" w:cs="Times New Roman"/>
          <w:kern w:val="0"/>
          <w:lang w:val="en" w:eastAsia="pt-BR" w:bidi="ar-SA"/>
        </w:rPr>
        <w:t xml:space="preserve"> </w:t>
      </w:r>
      <w:r w:rsidRPr="0068656E">
        <w:rPr>
          <w:rFonts w:ascii="Times New Roman" w:eastAsia="Times New Roman" w:hAnsi="Times New Roman" w:cs="Times New Roman"/>
          <w:kern w:val="0"/>
          <w:lang w:val="en" w:eastAsia="pt-BR" w:bidi="ar-SA"/>
        </w:rPr>
        <w:t xml:space="preserve">for inputs offered </w:t>
      </w:r>
      <w:r w:rsidR="009E68BE" w:rsidRPr="0068656E">
        <w:rPr>
          <w:rFonts w:ascii="Times New Roman" w:eastAsia="Times New Roman" w:hAnsi="Times New Roman" w:cs="Times New Roman"/>
          <w:kern w:val="0"/>
          <w:lang w:val="en" w:eastAsia="pt-BR" w:bidi="ar-SA"/>
        </w:rPr>
        <w:t xml:space="preserve">by </w:t>
      </w:r>
      <w:r w:rsidRPr="0068656E">
        <w:rPr>
          <w:rFonts w:ascii="Times New Roman" w:eastAsia="Times New Roman" w:hAnsi="Times New Roman" w:cs="Times New Roman"/>
          <w:kern w:val="0"/>
          <w:lang w:val="en" w:eastAsia="pt-BR" w:bidi="ar-SA"/>
        </w:rPr>
        <w:t>sector</w:t>
      </w:r>
      <w:r w:rsidR="00703CC3">
        <w:rPr>
          <w:rFonts w:ascii="Times New Roman" w:eastAsia="Times New Roman" w:hAnsi="Times New Roman" w:cs="Times New Roman"/>
          <w:kern w:val="0"/>
          <w:lang w:val="en" w:eastAsia="pt-BR" w:bidi="ar-SA"/>
        </w:rPr>
        <w:t xml:space="preserve"> </w:t>
      </w:r>
      <m:oMath>
        <m:r>
          <w:rPr>
            <w:rFonts w:ascii="Cambria Math" w:eastAsia="Times New Roman" w:hAnsi="Cambria Math" w:cs="Times New Roman"/>
            <w:kern w:val="0"/>
            <w:lang w:val="en" w:eastAsia="pt-BR" w:bidi="ar-SA"/>
          </w:rPr>
          <m:t>j</m:t>
        </m:r>
      </m:oMath>
      <w:r w:rsidRPr="0068656E">
        <w:rPr>
          <w:rFonts w:ascii="Times New Roman" w:eastAsia="Times New Roman" w:hAnsi="Times New Roman" w:cs="Times New Roman"/>
          <w:kern w:val="0"/>
          <w:lang w:val="en" w:eastAsia="pt-BR" w:bidi="ar-SA"/>
        </w:rPr>
        <w:t>, that is</w:t>
      </w:r>
      <w:r w:rsidR="009E68BE" w:rsidRPr="0068656E">
        <w:rPr>
          <w:rFonts w:ascii="Times New Roman" w:eastAsia="Times New Roman" w:hAnsi="Times New Roman" w:cs="Times New Roman"/>
          <w:kern w:val="0"/>
          <w:lang w:val="en" w:eastAsia="pt-BR" w:bidi="ar-SA"/>
        </w:rPr>
        <w:t xml:space="preserve">, on currency, </w:t>
      </w:r>
      <w:r w:rsidRPr="0068656E">
        <w:rPr>
          <w:rFonts w:ascii="Times New Roman" w:eastAsia="Times New Roman" w:hAnsi="Times New Roman" w:cs="Times New Roman"/>
          <w:kern w:val="0"/>
          <w:lang w:val="en" w:eastAsia="pt-BR" w:bidi="ar-SA"/>
        </w:rPr>
        <w:t>the impact on the final demand of the sector</w:t>
      </w:r>
      <w:r w:rsidR="00491E54">
        <w:rPr>
          <w:rFonts w:ascii="Times New Roman" w:eastAsia="Times New Roman" w:hAnsi="Times New Roman" w:cs="Times New Roman"/>
          <w:kern w:val="0"/>
          <w:lang w:val="en" w:eastAsia="pt-BR" w:bidi="ar-SA"/>
        </w:rPr>
        <w:t xml:space="preserve"> </w:t>
      </w:r>
      <m:oMath>
        <m:r>
          <w:rPr>
            <w:rFonts w:ascii="Cambria Math" w:eastAsia="Times New Roman" w:hAnsi="Cambria Math" w:cs="Times New Roman"/>
            <w:kern w:val="0"/>
            <w:lang w:val="en" w:eastAsia="pt-BR" w:bidi="ar-SA"/>
          </w:rPr>
          <m:t>j</m:t>
        </m:r>
      </m:oMath>
      <w:r w:rsidRPr="0068656E">
        <w:rPr>
          <w:rFonts w:ascii="Times New Roman" w:eastAsia="Times New Roman" w:hAnsi="Times New Roman" w:cs="Times New Roman"/>
          <w:kern w:val="0"/>
          <w:lang w:val="en" w:eastAsia="pt-BR" w:bidi="ar-SA"/>
        </w:rPr>
        <w:t>.</w:t>
      </w:r>
    </w:p>
    <w:p w14:paraId="48591757" w14:textId="77777777" w:rsidR="00970618" w:rsidRPr="0068656E" w:rsidRDefault="00970618"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 xml:space="preserve">Once it is worked with open system of Leontief, the final demand is considered </w:t>
      </w:r>
      <w:r w:rsidR="00275697" w:rsidRPr="0068656E">
        <w:rPr>
          <w:rFonts w:ascii="Times New Roman" w:hAnsi="Times New Roman" w:cs="Times New Roman"/>
          <w:lang w:val="en-US"/>
        </w:rPr>
        <w:t>to be</w:t>
      </w:r>
      <w:r w:rsidRPr="0068656E">
        <w:rPr>
          <w:rFonts w:ascii="Times New Roman" w:hAnsi="Times New Roman" w:cs="Times New Roman"/>
          <w:lang w:val="en-US"/>
        </w:rPr>
        <w:t xml:space="preserve"> exogenous to the system, </w:t>
      </w:r>
      <w:r w:rsidR="00275697" w:rsidRPr="0068656E">
        <w:rPr>
          <w:rFonts w:ascii="Times New Roman" w:hAnsi="Times New Roman" w:cs="Times New Roman"/>
          <w:lang w:val="en-US"/>
        </w:rPr>
        <w:t xml:space="preserve">what is the opposite of the closed one, making possible to obtain the full needed production in order to satisfy the full demand by resolving the expression (4) above. In this case, </w:t>
      </w:r>
    </w:p>
    <w:tbl>
      <w:tblPr>
        <w:tblStyle w:val="Tabelacomgrade"/>
        <w:tblW w:w="0" w:type="auto"/>
        <w:jc w:val="center"/>
        <w:tblLook w:val="04A0" w:firstRow="1" w:lastRow="0" w:firstColumn="1" w:lastColumn="0" w:noHBand="0" w:noVBand="1"/>
      </w:tblPr>
      <w:tblGrid>
        <w:gridCol w:w="7792"/>
        <w:gridCol w:w="624"/>
      </w:tblGrid>
      <w:tr w:rsidR="00D70BC3" w14:paraId="155AA743" w14:textId="77777777" w:rsidTr="005B25D7">
        <w:trPr>
          <w:trHeight w:val="624"/>
          <w:jc w:val="center"/>
        </w:trPr>
        <w:tc>
          <w:tcPr>
            <w:tcW w:w="7792" w:type="dxa"/>
            <w:vAlign w:val="center"/>
          </w:tcPr>
          <w:p w14:paraId="1CE141BE" w14:textId="77777777" w:rsidR="00D70BC3" w:rsidRDefault="00D70BC3" w:rsidP="00E81101">
            <w:pPr>
              <w:jc w:val="center"/>
              <w:rPr>
                <w:rFonts w:ascii="Times New Roman" w:hAnsi="Times New Roman" w:cs="Times New Roman"/>
                <w:lang w:val="en-US"/>
              </w:rPr>
            </w:pPr>
            <m:oMathPara>
              <m:oMath>
                <m:r>
                  <w:rPr>
                    <w:rFonts w:ascii="Cambria Math" w:hAnsi="Cambria Math" w:cs="Times New Roman"/>
                    <w:lang w:val="en-US"/>
                  </w:rPr>
                  <m:t>X=</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I-A</m:t>
                        </m:r>
                      </m:e>
                    </m:d>
                  </m:e>
                  <m:sup>
                    <m:r>
                      <w:rPr>
                        <w:rFonts w:ascii="Cambria Math" w:hAnsi="Cambria Math" w:cs="Times New Roman"/>
                        <w:lang w:val="en-US"/>
                      </w:rPr>
                      <m:t>-1</m:t>
                    </m:r>
                  </m:sup>
                </m:sSup>
                <m:r>
                  <m:rPr>
                    <m:sty m:val="p"/>
                  </m:rPr>
                  <w:rPr>
                    <w:rFonts w:ascii="Cambria Math" w:hAnsi="Cambria Math" w:cs="Times New Roman"/>
                    <w:lang w:val="en-US"/>
                  </w:rPr>
                  <m:t>Γ</m:t>
                </m:r>
                <m:r>
                  <w:rPr>
                    <w:rFonts w:ascii="Cambria Math" w:hAnsi="Cambria Math" w:cs="Times New Roman"/>
                    <w:lang w:val="en-US"/>
                  </w:rPr>
                  <m:t>;</m:t>
                </m:r>
              </m:oMath>
            </m:oMathPara>
          </w:p>
        </w:tc>
        <w:tc>
          <w:tcPr>
            <w:tcW w:w="624" w:type="dxa"/>
            <w:vAlign w:val="center"/>
          </w:tcPr>
          <w:p w14:paraId="57FCB939" w14:textId="77777777" w:rsidR="00D70BC3" w:rsidRDefault="00E81101" w:rsidP="00E81101">
            <w:pPr>
              <w:jc w:val="center"/>
              <w:rPr>
                <w:rFonts w:ascii="Times New Roman" w:hAnsi="Times New Roman" w:cs="Times New Roman"/>
                <w:lang w:val="en-US"/>
              </w:rPr>
            </w:pPr>
            <w:r>
              <w:rPr>
                <w:rFonts w:ascii="Times New Roman" w:hAnsi="Times New Roman" w:cs="Times New Roman"/>
                <w:lang w:val="en-US"/>
              </w:rPr>
              <w:t>(5)</w:t>
            </w:r>
          </w:p>
        </w:tc>
      </w:tr>
    </w:tbl>
    <w:p w14:paraId="51CF69DD" w14:textId="77777777" w:rsidR="009E68BE" w:rsidRDefault="009E68BE" w:rsidP="00ED4EE3">
      <w:pPr>
        <w:jc w:val="both"/>
        <w:rPr>
          <w:rFonts w:ascii="Times New Roman" w:hAnsi="Times New Roman" w:cs="Times New Roman"/>
          <w:lang w:val="en-US"/>
        </w:rPr>
      </w:pPr>
    </w:p>
    <w:p w14:paraId="1D1D29CA" w14:textId="77777777" w:rsidR="00275697" w:rsidRPr="0068656E" w:rsidRDefault="00811F02" w:rsidP="00ED4EE3">
      <w:pPr>
        <w:spacing w:line="480" w:lineRule="auto"/>
        <w:jc w:val="both"/>
        <w:rPr>
          <w:rFonts w:ascii="Times New Roman" w:hAnsi="Times New Roman" w:cs="Times New Roman"/>
          <w:lang w:val="en-US"/>
        </w:rPr>
      </w:pPr>
      <w:r>
        <w:rPr>
          <w:rFonts w:ascii="Times New Roman" w:hAnsi="Times New Roman" w:cs="Times New Roman"/>
          <w:lang w:val="en-US"/>
        </w:rPr>
        <w:lastRenderedPageBreak/>
        <w:t xml:space="preserve">where </w:t>
      </w:r>
      <m:oMath>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I-A</m:t>
                </m:r>
              </m:e>
            </m:d>
          </m:e>
          <m:sup>
            <m:r>
              <w:rPr>
                <w:rFonts w:ascii="Cambria Math" w:hAnsi="Cambria Math" w:cs="Times New Roman"/>
                <w:lang w:val="en-US"/>
              </w:rPr>
              <m:t>-1</m:t>
            </m:r>
          </m:sup>
        </m:sSup>
      </m:oMath>
      <w:r w:rsidR="00275697" w:rsidRPr="0068656E">
        <w:rPr>
          <w:rFonts w:ascii="Times New Roman" w:hAnsi="Times New Roman" w:cs="Times New Roman"/>
          <w:lang w:val="en-US"/>
        </w:rPr>
        <w:t xml:space="preserve"> is denominated as the </w:t>
      </w:r>
      <w:r w:rsidR="00275697" w:rsidRPr="00786B50">
        <w:rPr>
          <w:rFonts w:ascii="Times New Roman" w:hAnsi="Times New Roman" w:cs="Times New Roman"/>
          <w:lang w:val="en-US"/>
        </w:rPr>
        <w:t>matrix</w:t>
      </w:r>
      <w:r w:rsidR="00786B50">
        <w:rPr>
          <w:rStyle w:val="Refdenotaderodap"/>
          <w:rFonts w:ascii="Times New Roman" w:hAnsi="Times New Roman" w:cs="Times New Roman"/>
          <w:lang w:val="en-US"/>
        </w:rPr>
        <w:footnoteReference w:id="5"/>
      </w:r>
      <w:r w:rsidR="00275697" w:rsidRPr="0068656E">
        <w:rPr>
          <w:rFonts w:ascii="Times New Roman" w:hAnsi="Times New Roman" w:cs="Times New Roman"/>
          <w:lang w:val="en-US"/>
        </w:rPr>
        <w:t xml:space="preserve"> of direct and indirect technical coefficients.</w:t>
      </w:r>
    </w:p>
    <w:p w14:paraId="54032FD0" w14:textId="77777777" w:rsidR="00275697" w:rsidRPr="0068656E" w:rsidRDefault="00275697"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 xml:space="preserve">Through the </w:t>
      </w:r>
      <w:r w:rsidRPr="005656C4">
        <w:rPr>
          <w:rFonts w:ascii="Times New Roman" w:hAnsi="Times New Roman" w:cs="Times New Roman"/>
          <w:i/>
          <w:lang w:val="en-US"/>
        </w:rPr>
        <w:t>inverse matrix of Leontief</w:t>
      </w:r>
      <w:r w:rsidRPr="0068656E">
        <w:rPr>
          <w:rFonts w:ascii="Times New Roman" w:hAnsi="Times New Roman" w:cs="Times New Roman"/>
          <w:lang w:val="en-US"/>
        </w:rPr>
        <w:t xml:space="preserve">, </w:t>
      </w:r>
      <m:oMath>
        <m:r>
          <w:rPr>
            <w:rFonts w:ascii="Cambria Math" w:hAnsi="Cambria Math" w:cs="Times New Roman"/>
            <w:lang w:val="en-US"/>
          </w:rPr>
          <m:t>B=</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I-A</m:t>
                </m:r>
              </m:e>
            </m:d>
          </m:e>
          <m:sup>
            <m:r>
              <w:rPr>
                <w:rFonts w:ascii="Cambria Math" w:hAnsi="Cambria Math" w:cs="Times New Roman"/>
                <w:lang w:val="en-US"/>
              </w:rPr>
              <m:t>-1</m:t>
            </m:r>
          </m:sup>
        </m:sSup>
      </m:oMath>
      <w:r w:rsidRPr="0068656E">
        <w:rPr>
          <w:rFonts w:ascii="Times New Roman" w:hAnsi="Times New Roman" w:cs="Times New Roman"/>
          <w:lang w:val="en-US"/>
        </w:rPr>
        <w:t>, it is possible to identify the effects on the final production level of the economy, arising from variations in one of the components of the final demand. It is important to highlight that it is possible to obtain different effects for each of the components since the interdependencies vary from sector to sector.</w:t>
      </w:r>
    </w:p>
    <w:p w14:paraId="0F75077A" w14:textId="77777777" w:rsidR="00275697" w:rsidRPr="0068656E" w:rsidRDefault="00275697"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 xml:space="preserve">This is to say that sectors have </w:t>
      </w:r>
      <w:r w:rsidRPr="00891B6C">
        <w:rPr>
          <w:rFonts w:ascii="Times New Roman" w:hAnsi="Times New Roman" w:cs="Times New Roman"/>
          <w:i/>
          <w:lang w:val="en-US"/>
        </w:rPr>
        <w:t>forward linkages</w:t>
      </w:r>
      <w:r w:rsidRPr="0068656E">
        <w:rPr>
          <w:rFonts w:ascii="Times New Roman" w:hAnsi="Times New Roman" w:cs="Times New Roman"/>
          <w:lang w:val="en-US"/>
        </w:rPr>
        <w:t xml:space="preserve">, what defines the sector as an input supplier for the other sectors, and </w:t>
      </w:r>
      <w:r w:rsidRPr="00891B6C">
        <w:rPr>
          <w:rFonts w:ascii="Times New Roman" w:hAnsi="Times New Roman" w:cs="Times New Roman"/>
          <w:i/>
          <w:lang w:val="en-US"/>
        </w:rPr>
        <w:t>backward linkages</w:t>
      </w:r>
      <w:r w:rsidRPr="0068656E">
        <w:rPr>
          <w:rFonts w:ascii="Times New Roman" w:hAnsi="Times New Roman" w:cs="Times New Roman"/>
          <w:lang w:val="en-US"/>
        </w:rPr>
        <w:t xml:space="preserve">, what classifies the sectors as </w:t>
      </w:r>
      <w:r w:rsidR="00894985" w:rsidRPr="0068656E">
        <w:rPr>
          <w:rFonts w:ascii="Times New Roman" w:hAnsi="Times New Roman" w:cs="Times New Roman"/>
          <w:lang w:val="en-US"/>
        </w:rPr>
        <w:t>one which demands inputs from the other sectors and may cause different results after a “shock” in one of the final demand components. Each one of the elements</w:t>
      </w:r>
      <w:r w:rsidR="00891B6C">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ij</m:t>
            </m:r>
          </m:sub>
        </m:sSub>
      </m:oMath>
      <w:r w:rsidR="00891B6C">
        <w:rPr>
          <w:rFonts w:ascii="Times New Roman" w:hAnsi="Times New Roman" w:cs="Times New Roman"/>
          <w:lang w:val="en-US"/>
        </w:rPr>
        <w:t xml:space="preserve"> </w:t>
      </w:r>
      <w:r w:rsidR="00894985" w:rsidRPr="0068656E">
        <w:rPr>
          <w:rFonts w:ascii="Times New Roman" w:hAnsi="Times New Roman" w:cs="Times New Roman"/>
          <w:lang w:val="en-US"/>
        </w:rPr>
        <w:t>represents the direct and indirect requirement of needed inputs of the sector</w:t>
      </w:r>
      <w:r w:rsidR="00891B6C">
        <w:rPr>
          <w:rFonts w:ascii="Times New Roman" w:hAnsi="Times New Roman" w:cs="Times New Roman"/>
          <w:lang w:val="en-US"/>
        </w:rPr>
        <w:t xml:space="preserve"> </w:t>
      </w:r>
      <m:oMath>
        <m:r>
          <w:rPr>
            <w:rFonts w:ascii="Cambria Math" w:hAnsi="Cambria Math" w:cs="Times New Roman"/>
            <w:lang w:val="en-US"/>
          </w:rPr>
          <m:t>i</m:t>
        </m:r>
      </m:oMath>
      <w:r w:rsidR="00891B6C">
        <w:rPr>
          <w:rFonts w:ascii="Times New Roman" w:hAnsi="Times New Roman" w:cs="Times New Roman"/>
          <w:lang w:val="en-US"/>
        </w:rPr>
        <w:t xml:space="preserve"> </w:t>
      </w:r>
      <w:r w:rsidR="00894985" w:rsidRPr="0068656E">
        <w:rPr>
          <w:rFonts w:ascii="Times New Roman" w:hAnsi="Times New Roman" w:cs="Times New Roman"/>
          <w:lang w:val="en-US"/>
        </w:rPr>
        <w:t>to produce one unit of final demand in sector</w:t>
      </w:r>
      <w:r w:rsidR="00891B6C">
        <w:rPr>
          <w:rFonts w:ascii="Times New Roman" w:hAnsi="Times New Roman" w:cs="Times New Roman"/>
          <w:lang w:val="en-US"/>
        </w:rPr>
        <w:t xml:space="preserve"> </w:t>
      </w:r>
      <m:oMath>
        <m:r>
          <w:rPr>
            <w:rFonts w:ascii="Cambria Math" w:hAnsi="Cambria Math" w:cs="Times New Roman"/>
            <w:lang w:val="en-US"/>
          </w:rPr>
          <m:t>j</m:t>
        </m:r>
      </m:oMath>
      <w:r w:rsidR="00894985" w:rsidRPr="0068656E">
        <w:rPr>
          <w:rFonts w:ascii="Times New Roman" w:hAnsi="Times New Roman" w:cs="Times New Roman"/>
          <w:lang w:val="en-US"/>
        </w:rPr>
        <w:t>.</w:t>
      </w:r>
    </w:p>
    <w:p w14:paraId="1CC63A67" w14:textId="77777777" w:rsidR="00630B4E" w:rsidRPr="0068656E" w:rsidRDefault="00630B4E" w:rsidP="00ED4EE3">
      <w:pPr>
        <w:jc w:val="both"/>
        <w:rPr>
          <w:rFonts w:ascii="Times New Roman" w:hAnsi="Times New Roman" w:cs="Times New Roman"/>
          <w:b/>
          <w:lang w:val="en-US"/>
        </w:rPr>
      </w:pPr>
      <w:r w:rsidRPr="0068656E">
        <w:rPr>
          <w:rFonts w:ascii="Times New Roman" w:hAnsi="Times New Roman" w:cs="Times New Roman"/>
          <w:b/>
          <w:lang w:val="en-US"/>
        </w:rPr>
        <w:t>4 Quantification methodology of the sugar and alcohol sector GDP</w:t>
      </w:r>
    </w:p>
    <w:p w14:paraId="7BBB4154" w14:textId="77777777" w:rsidR="002F7EDA" w:rsidRPr="0068656E" w:rsidRDefault="002F7EDA" w:rsidP="00ED4EE3">
      <w:pPr>
        <w:jc w:val="both"/>
        <w:rPr>
          <w:rFonts w:ascii="Times New Roman" w:hAnsi="Times New Roman" w:cs="Times New Roman"/>
          <w:lang w:val="en-US"/>
        </w:rPr>
      </w:pPr>
    </w:p>
    <w:p w14:paraId="59C63165" w14:textId="77777777" w:rsidR="009E68BE" w:rsidRPr="0068656E" w:rsidRDefault="00630B4E"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According to the methodology used by the Brazilian Institute of Geography and Statistics – IBGE – in accounting the national accounts, the agribusiness GDP corresponds to the sum of the goods and services production of all productive units that are interrelated with agro-livestock activities. In other words, the sugar and alcohol GDP counts all the correspondent values to the upstream sectors (“before the gate”), the agro-livestock properties (“inside the gate”) and to downstream sectors (“after the gate”).</w:t>
      </w:r>
    </w:p>
    <w:p w14:paraId="2361CF87" w14:textId="77777777" w:rsidR="00630B4E" w:rsidRPr="0068656E" w:rsidRDefault="00630B4E" w:rsidP="00ED4EE3">
      <w:pPr>
        <w:spacing w:line="480" w:lineRule="auto"/>
        <w:jc w:val="both"/>
        <w:rPr>
          <w:rFonts w:ascii="Times New Roman" w:hAnsi="Times New Roman" w:cs="Times New Roman"/>
          <w:b/>
          <w:lang w:val="en-US"/>
        </w:rPr>
      </w:pPr>
      <w:r w:rsidRPr="0068656E">
        <w:rPr>
          <w:rFonts w:ascii="Times New Roman" w:hAnsi="Times New Roman" w:cs="Times New Roman"/>
          <w:lang w:val="en-US"/>
        </w:rPr>
        <w:tab/>
        <w:t xml:space="preserve">“GDP characterizes as a macroeconomic aggregate which purpose is to provide </w:t>
      </w:r>
      <w:r w:rsidR="001444D3" w:rsidRPr="0068656E">
        <w:rPr>
          <w:rFonts w:ascii="Times New Roman" w:hAnsi="Times New Roman" w:cs="Times New Roman"/>
          <w:lang w:val="en-US"/>
        </w:rPr>
        <w:t>a summary measure of the results from</w:t>
      </w:r>
      <w:r w:rsidRPr="0068656E">
        <w:rPr>
          <w:rFonts w:ascii="Times New Roman" w:hAnsi="Times New Roman" w:cs="Times New Roman"/>
          <w:lang w:val="en-US"/>
        </w:rPr>
        <w:t xml:space="preserve"> e</w:t>
      </w:r>
      <w:r w:rsidR="001444D3" w:rsidRPr="0068656E">
        <w:rPr>
          <w:rFonts w:ascii="Times New Roman" w:hAnsi="Times New Roman" w:cs="Times New Roman"/>
          <w:lang w:val="en-US"/>
        </w:rPr>
        <w:t>conomic activities of a country</w:t>
      </w:r>
      <w:r w:rsidRPr="0068656E">
        <w:rPr>
          <w:rFonts w:ascii="Times New Roman" w:hAnsi="Times New Roman" w:cs="Times New Roman"/>
          <w:lang w:val="en-US"/>
        </w:rPr>
        <w:t xml:space="preserve">, representing the </w:t>
      </w:r>
      <w:r w:rsidR="001444D3" w:rsidRPr="0068656E">
        <w:rPr>
          <w:rFonts w:ascii="Times New Roman" w:hAnsi="Times New Roman" w:cs="Times New Roman"/>
          <w:lang w:val="en-US"/>
        </w:rPr>
        <w:t>full</w:t>
      </w:r>
      <w:r w:rsidRPr="0068656E">
        <w:rPr>
          <w:rFonts w:ascii="Times New Roman" w:hAnsi="Times New Roman" w:cs="Times New Roman"/>
          <w:lang w:val="en-US"/>
        </w:rPr>
        <w:t xml:space="preserve"> production of final goods and servi</w:t>
      </w:r>
      <w:r w:rsidR="001444D3" w:rsidRPr="0068656E">
        <w:rPr>
          <w:rFonts w:ascii="Times New Roman" w:hAnsi="Times New Roman" w:cs="Times New Roman"/>
          <w:lang w:val="en-US"/>
        </w:rPr>
        <w:t xml:space="preserve">ces in a given period of time" </w:t>
      </w:r>
      <w:r w:rsidRPr="0068656E">
        <w:rPr>
          <w:rFonts w:ascii="Times New Roman" w:hAnsi="Times New Roman" w:cs="Times New Roman"/>
          <w:lang w:val="en-US"/>
        </w:rPr>
        <w:t>(Cruz</w:t>
      </w:r>
      <w:r w:rsidR="00901AAA">
        <w:rPr>
          <w:rFonts w:ascii="Times New Roman" w:hAnsi="Times New Roman" w:cs="Times New Roman"/>
          <w:lang w:val="en-US"/>
        </w:rPr>
        <w:t xml:space="preserve"> et al.</w:t>
      </w:r>
      <w:r w:rsidR="001444D3" w:rsidRPr="0068656E">
        <w:rPr>
          <w:rFonts w:ascii="Times New Roman" w:hAnsi="Times New Roman" w:cs="Times New Roman"/>
          <w:lang w:val="en-US"/>
        </w:rPr>
        <w:t xml:space="preserve"> 2009, p. </w:t>
      </w:r>
      <w:r w:rsidR="001444D3" w:rsidRPr="0068656E">
        <w:rPr>
          <w:rFonts w:ascii="Times New Roman" w:hAnsi="Times New Roman" w:cs="Times New Roman"/>
          <w:lang w:val="en-US"/>
        </w:rPr>
        <w:lastRenderedPageBreak/>
        <w:t>814 [free translation])</w:t>
      </w:r>
      <w:r w:rsidRPr="0068656E">
        <w:rPr>
          <w:rFonts w:ascii="Times New Roman" w:hAnsi="Times New Roman" w:cs="Times New Roman"/>
          <w:lang w:val="en-US"/>
        </w:rPr>
        <w:t>. There are two ways to ca</w:t>
      </w:r>
      <w:r w:rsidR="001444D3" w:rsidRPr="0068656E">
        <w:rPr>
          <w:rFonts w:ascii="Times New Roman" w:hAnsi="Times New Roman" w:cs="Times New Roman"/>
          <w:lang w:val="en-US"/>
        </w:rPr>
        <w:t>lculate the GDP</w:t>
      </w:r>
      <w:r w:rsidRPr="0068656E">
        <w:rPr>
          <w:rFonts w:ascii="Times New Roman" w:hAnsi="Times New Roman" w:cs="Times New Roman"/>
          <w:lang w:val="en-US"/>
        </w:rPr>
        <w:t>: at</w:t>
      </w:r>
      <w:r w:rsidR="001444D3" w:rsidRPr="0068656E">
        <w:rPr>
          <w:rFonts w:ascii="Times New Roman" w:hAnsi="Times New Roman" w:cs="Times New Roman"/>
          <w:lang w:val="en-US"/>
        </w:rPr>
        <w:t xml:space="preserve"> market prices or at cost factors.</w:t>
      </w:r>
    </w:p>
    <w:p w14:paraId="7A632DBB" w14:textId="77777777" w:rsidR="001444D3" w:rsidRPr="0068656E" w:rsidRDefault="00B441EA"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The difference between them is basically the exclusion of indirect taxes on the production, the prices of goods and services, when they are used to calculate the cost factors. So, since this study attempts to quantify the GDP of the sugar and alcohol sector, considering only payments that are exclusively intended to remuneration of production, it is also used to calculate the cost factors –</w:t>
      </w:r>
      <w:r w:rsidR="00697081">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cf</m:t>
            </m:r>
          </m:sub>
        </m:sSub>
      </m:oMath>
      <w:r w:rsidRPr="0068656E">
        <w:rPr>
          <w:rFonts w:ascii="Times New Roman" w:hAnsi="Times New Roman" w:cs="Times New Roman"/>
          <w:lang w:val="en-US"/>
        </w:rPr>
        <w:t>. It is noted that this macroeconomic aggregate can be measured from three points of view: production, cost and income.</w:t>
      </w:r>
    </w:p>
    <w:p w14:paraId="218E9317" w14:textId="77777777" w:rsidR="00B441EA" w:rsidRPr="0068656E" w:rsidRDefault="00B441EA" w:rsidP="00ED4EE3">
      <w:pPr>
        <w:jc w:val="both"/>
        <w:rPr>
          <w:rFonts w:ascii="Times New Roman" w:hAnsi="Times New Roman" w:cs="Times New Roman"/>
          <w:lang w:val="en-US"/>
        </w:rPr>
      </w:pPr>
    </w:p>
    <w:p w14:paraId="75AD8EED" w14:textId="77777777" w:rsidR="001444D3" w:rsidRPr="0068656E" w:rsidRDefault="00B441EA"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 xml:space="preserve">Production view: </w:t>
      </w:r>
      <m:oMath>
        <m:r>
          <w:rPr>
            <w:rFonts w:ascii="Cambria Math" w:hAnsi="Cambria Math" w:cs="Times New Roman"/>
            <w:lang w:val="en-US"/>
          </w:rPr>
          <m:t>GDP=VP-IC-T=VA-T</m:t>
        </m:r>
      </m:oMath>
    </w:p>
    <w:p w14:paraId="1E51156F" w14:textId="77777777" w:rsidR="00B441EA" w:rsidRPr="0068656E" w:rsidRDefault="00B441EA"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 xml:space="preserve">Cost view: </w:t>
      </w:r>
      <m:oMath>
        <m:r>
          <w:rPr>
            <w:rFonts w:ascii="Cambria Math" w:hAnsi="Cambria Math" w:cs="Times New Roman"/>
            <w:lang w:val="en-US"/>
          </w:rPr>
          <m:t>GDP=C+G+GFCF+CS+</m:t>
        </m:r>
        <m:d>
          <m:dPr>
            <m:ctrlPr>
              <w:rPr>
                <w:rFonts w:ascii="Cambria Math" w:hAnsi="Cambria Math" w:cs="Times New Roman"/>
                <w:i/>
                <w:lang w:val="en-US"/>
              </w:rPr>
            </m:ctrlPr>
          </m:dPr>
          <m:e>
            <m:r>
              <w:rPr>
                <w:rFonts w:ascii="Cambria Math" w:hAnsi="Cambria Math" w:cs="Times New Roman"/>
                <w:lang w:val="en-US"/>
              </w:rPr>
              <m:t>X-M</m:t>
            </m:r>
          </m:e>
        </m:d>
        <m:r>
          <w:rPr>
            <w:rFonts w:ascii="Cambria Math" w:hAnsi="Cambria Math" w:cs="Times New Roman"/>
            <w:lang w:val="en-US"/>
          </w:rPr>
          <m:t>-T</m:t>
        </m:r>
      </m:oMath>
    </w:p>
    <w:p w14:paraId="0201B3FC" w14:textId="77777777" w:rsidR="00B441EA" w:rsidRPr="0068656E" w:rsidRDefault="00B441EA"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 xml:space="preserve">Income view: </w:t>
      </w:r>
      <m:oMath>
        <m:r>
          <w:rPr>
            <w:rFonts w:ascii="Cambria Math" w:hAnsi="Cambria Math" w:cs="Times New Roman"/>
            <w:lang w:val="en-US"/>
          </w:rPr>
          <m:t>GDP=W+GOS-T</m:t>
        </m:r>
      </m:oMath>
      <w:r w:rsidRPr="0068656E">
        <w:rPr>
          <w:rFonts w:ascii="Times New Roman" w:hAnsi="Times New Roman" w:cs="Times New Roman"/>
          <w:lang w:val="en-US"/>
        </w:rPr>
        <w:t xml:space="preserve"> </w:t>
      </w:r>
    </w:p>
    <w:p w14:paraId="16628C1D" w14:textId="77777777" w:rsidR="009E68BE" w:rsidRPr="004F5918" w:rsidRDefault="009E68BE" w:rsidP="00ED4EE3">
      <w:pPr>
        <w:jc w:val="both"/>
        <w:rPr>
          <w:rFonts w:ascii="Times New Roman" w:hAnsi="Times New Roman" w:cs="Times New Roman"/>
          <w:lang w:val="en-US"/>
        </w:rPr>
      </w:pPr>
    </w:p>
    <w:p w14:paraId="5DA5E58A" w14:textId="77777777" w:rsidR="009E68BE" w:rsidRPr="0068656E" w:rsidRDefault="001775AC" w:rsidP="00ED4EE3">
      <w:pPr>
        <w:spacing w:line="480" w:lineRule="auto"/>
        <w:jc w:val="both"/>
        <w:rPr>
          <w:rFonts w:ascii="Times New Roman" w:hAnsi="Times New Roman" w:cs="Times New Roman"/>
          <w:lang w:val="en-US"/>
        </w:rPr>
      </w:pPr>
      <w:r>
        <w:rPr>
          <w:rFonts w:ascii="Times New Roman" w:hAnsi="Times New Roman" w:cs="Times New Roman"/>
          <w:lang w:val="en-US"/>
        </w:rPr>
        <w:t>where</w:t>
      </w:r>
      <w:r w:rsidR="00B441EA" w:rsidRPr="0068656E">
        <w:rPr>
          <w:rFonts w:ascii="Times New Roman" w:hAnsi="Times New Roman" w:cs="Times New Roman"/>
          <w:lang w:val="en-US"/>
        </w:rPr>
        <w:t>:</w:t>
      </w:r>
    </w:p>
    <w:p w14:paraId="4063C808" w14:textId="77777777" w:rsidR="0059278C" w:rsidRPr="0068656E" w:rsidRDefault="0059278C" w:rsidP="00ED4EE3">
      <w:pPr>
        <w:pStyle w:val="Pr-formataoHTML"/>
        <w:shd w:val="clear" w:color="auto" w:fill="FFFFFF"/>
        <w:spacing w:line="480" w:lineRule="auto"/>
        <w:jc w:val="both"/>
        <w:rPr>
          <w:rFonts w:ascii="Times New Roman" w:hAnsi="Times New Roman" w:cs="Times New Roman"/>
          <w:color w:val="212121"/>
          <w:sz w:val="24"/>
          <w:szCs w:val="24"/>
          <w:lang w:val="en"/>
        </w:rPr>
      </w:pPr>
      <w:r w:rsidRPr="0068656E">
        <w:rPr>
          <w:rFonts w:ascii="Times New Roman" w:hAnsi="Times New Roman" w:cs="Times New Roman"/>
          <w:color w:val="212121"/>
          <w:sz w:val="24"/>
          <w:szCs w:val="24"/>
          <w:lang w:val="en"/>
        </w:rPr>
        <w:t xml:space="preserve">VP → is the value of the product </w:t>
      </w:r>
      <w:r w:rsidR="0087277B" w:rsidRPr="0068656E">
        <w:rPr>
          <w:rFonts w:ascii="Times New Roman" w:hAnsi="Times New Roman" w:cs="Times New Roman"/>
          <w:color w:val="212121"/>
          <w:sz w:val="24"/>
          <w:szCs w:val="24"/>
          <w:lang w:val="en"/>
        </w:rPr>
        <w:t>at</w:t>
      </w:r>
      <w:r w:rsidR="00EC5B05" w:rsidRPr="0068656E">
        <w:rPr>
          <w:rFonts w:ascii="Times New Roman" w:hAnsi="Times New Roman" w:cs="Times New Roman"/>
          <w:color w:val="212121"/>
          <w:sz w:val="24"/>
          <w:szCs w:val="24"/>
          <w:lang w:val="en"/>
        </w:rPr>
        <w:t xml:space="preserve"> basic prices</w:t>
      </w:r>
      <w:r w:rsidRPr="0068656E">
        <w:rPr>
          <w:rFonts w:ascii="Times New Roman" w:hAnsi="Times New Roman" w:cs="Times New Roman"/>
          <w:color w:val="212121"/>
          <w:sz w:val="24"/>
          <w:szCs w:val="24"/>
          <w:lang w:val="en"/>
        </w:rPr>
        <w:t>;</w:t>
      </w:r>
    </w:p>
    <w:p w14:paraId="4EFDC022" w14:textId="77777777" w:rsidR="0059278C" w:rsidRPr="0068656E" w:rsidRDefault="00E65945" w:rsidP="00ED4EE3">
      <w:pPr>
        <w:pStyle w:val="Pr-formataoHTML"/>
        <w:shd w:val="clear" w:color="auto" w:fill="FFFFFF"/>
        <w:spacing w:line="480" w:lineRule="auto"/>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IC</w:t>
      </w:r>
      <w:r w:rsidR="00EC5B05" w:rsidRPr="0068656E">
        <w:rPr>
          <w:rFonts w:ascii="Times New Roman" w:hAnsi="Times New Roman" w:cs="Times New Roman"/>
          <w:color w:val="212121"/>
          <w:sz w:val="24"/>
          <w:szCs w:val="24"/>
          <w:lang w:val="en"/>
        </w:rPr>
        <w:t xml:space="preserve"> </w:t>
      </w:r>
      <w:r w:rsidR="0059278C" w:rsidRPr="0068656E">
        <w:rPr>
          <w:rFonts w:ascii="Times New Roman" w:hAnsi="Times New Roman" w:cs="Times New Roman"/>
          <w:color w:val="212121"/>
          <w:sz w:val="24"/>
          <w:szCs w:val="24"/>
          <w:lang w:val="en"/>
        </w:rPr>
        <w:t xml:space="preserve">→ is the intermediate consumption </w:t>
      </w:r>
      <w:r w:rsidR="0087277B" w:rsidRPr="0068656E">
        <w:rPr>
          <w:rFonts w:ascii="Times New Roman" w:hAnsi="Times New Roman" w:cs="Times New Roman"/>
          <w:color w:val="212121"/>
          <w:sz w:val="24"/>
          <w:szCs w:val="24"/>
          <w:lang w:val="en"/>
        </w:rPr>
        <w:t>at</w:t>
      </w:r>
      <w:r w:rsidR="0059278C" w:rsidRPr="0068656E">
        <w:rPr>
          <w:rFonts w:ascii="Times New Roman" w:hAnsi="Times New Roman" w:cs="Times New Roman"/>
          <w:color w:val="212121"/>
          <w:sz w:val="24"/>
          <w:szCs w:val="24"/>
          <w:lang w:val="en"/>
        </w:rPr>
        <w:t xml:space="preserve"> market prices;</w:t>
      </w:r>
    </w:p>
    <w:p w14:paraId="77C0C166" w14:textId="77777777" w:rsidR="0059278C" w:rsidRPr="0068656E" w:rsidRDefault="00EC5B05" w:rsidP="00ED4EE3">
      <w:pPr>
        <w:pStyle w:val="Pr-formataoHTML"/>
        <w:shd w:val="clear" w:color="auto" w:fill="FFFFFF"/>
        <w:spacing w:line="480" w:lineRule="auto"/>
        <w:jc w:val="both"/>
        <w:rPr>
          <w:rFonts w:ascii="Times New Roman" w:hAnsi="Times New Roman" w:cs="Times New Roman"/>
          <w:color w:val="212121"/>
          <w:sz w:val="24"/>
          <w:szCs w:val="24"/>
          <w:lang w:val="en"/>
        </w:rPr>
      </w:pPr>
      <w:r w:rsidRPr="0068656E">
        <w:rPr>
          <w:rFonts w:ascii="Times New Roman" w:hAnsi="Times New Roman" w:cs="Times New Roman"/>
          <w:color w:val="212121"/>
          <w:sz w:val="24"/>
          <w:szCs w:val="24"/>
          <w:lang w:val="en"/>
        </w:rPr>
        <w:t>T → are the net indirect taxes</w:t>
      </w:r>
      <w:r w:rsidR="0059278C" w:rsidRPr="0068656E">
        <w:rPr>
          <w:rFonts w:ascii="Times New Roman" w:hAnsi="Times New Roman" w:cs="Times New Roman"/>
          <w:color w:val="212121"/>
          <w:sz w:val="24"/>
          <w:szCs w:val="24"/>
          <w:lang w:val="en"/>
        </w:rPr>
        <w:t>;</w:t>
      </w:r>
    </w:p>
    <w:p w14:paraId="38C85938" w14:textId="77777777" w:rsidR="0059278C" w:rsidRPr="0068656E" w:rsidRDefault="00EC5B05" w:rsidP="00ED4EE3">
      <w:pPr>
        <w:pStyle w:val="Pr-formataoHTML"/>
        <w:shd w:val="clear" w:color="auto" w:fill="FFFFFF"/>
        <w:spacing w:line="480" w:lineRule="auto"/>
        <w:jc w:val="both"/>
        <w:rPr>
          <w:rFonts w:ascii="Times New Roman" w:hAnsi="Times New Roman" w:cs="Times New Roman"/>
          <w:color w:val="212121"/>
          <w:sz w:val="24"/>
          <w:szCs w:val="24"/>
          <w:lang w:val="en"/>
        </w:rPr>
      </w:pPr>
      <w:r w:rsidRPr="0068656E">
        <w:rPr>
          <w:rFonts w:ascii="Times New Roman" w:hAnsi="Times New Roman" w:cs="Times New Roman"/>
          <w:color w:val="212121"/>
          <w:sz w:val="24"/>
          <w:szCs w:val="24"/>
          <w:lang w:val="en"/>
        </w:rPr>
        <w:t xml:space="preserve">C → is household consumption </w:t>
      </w:r>
      <w:r w:rsidR="0087277B" w:rsidRPr="0068656E">
        <w:rPr>
          <w:rFonts w:ascii="Times New Roman" w:hAnsi="Times New Roman" w:cs="Times New Roman"/>
          <w:color w:val="212121"/>
          <w:sz w:val="24"/>
          <w:szCs w:val="24"/>
          <w:lang w:val="en"/>
        </w:rPr>
        <w:t>at</w:t>
      </w:r>
      <w:r w:rsidRPr="0068656E">
        <w:rPr>
          <w:rFonts w:ascii="Times New Roman" w:hAnsi="Times New Roman" w:cs="Times New Roman"/>
          <w:color w:val="212121"/>
          <w:sz w:val="24"/>
          <w:szCs w:val="24"/>
          <w:lang w:val="en"/>
        </w:rPr>
        <w:t xml:space="preserve"> market prices</w:t>
      </w:r>
      <w:r w:rsidR="0059278C" w:rsidRPr="0068656E">
        <w:rPr>
          <w:rFonts w:ascii="Times New Roman" w:hAnsi="Times New Roman" w:cs="Times New Roman"/>
          <w:color w:val="212121"/>
          <w:sz w:val="24"/>
          <w:szCs w:val="24"/>
          <w:lang w:val="en"/>
        </w:rPr>
        <w:t>;</w:t>
      </w:r>
    </w:p>
    <w:p w14:paraId="79139A39" w14:textId="77777777" w:rsidR="0059278C" w:rsidRPr="0068656E" w:rsidRDefault="0059278C" w:rsidP="00ED4EE3">
      <w:pPr>
        <w:pStyle w:val="Pr-formataoHTML"/>
        <w:shd w:val="clear" w:color="auto" w:fill="FFFFFF"/>
        <w:spacing w:line="480" w:lineRule="auto"/>
        <w:jc w:val="both"/>
        <w:rPr>
          <w:rFonts w:ascii="Times New Roman" w:hAnsi="Times New Roman" w:cs="Times New Roman"/>
          <w:color w:val="212121"/>
          <w:sz w:val="24"/>
          <w:szCs w:val="24"/>
          <w:lang w:val="en"/>
        </w:rPr>
      </w:pPr>
      <w:r w:rsidRPr="0068656E">
        <w:rPr>
          <w:rFonts w:ascii="Times New Roman" w:hAnsi="Times New Roman" w:cs="Times New Roman"/>
          <w:color w:val="212121"/>
          <w:sz w:val="24"/>
          <w:szCs w:val="24"/>
          <w:lang w:val="en"/>
        </w:rPr>
        <w:t xml:space="preserve">G </w:t>
      </w:r>
      <w:r w:rsidR="00EC5B05" w:rsidRPr="0068656E">
        <w:rPr>
          <w:rFonts w:ascii="Times New Roman" w:hAnsi="Times New Roman" w:cs="Times New Roman"/>
          <w:color w:val="212121"/>
          <w:sz w:val="24"/>
          <w:szCs w:val="24"/>
          <w:lang w:val="en"/>
        </w:rPr>
        <w:t xml:space="preserve">→ </w:t>
      </w:r>
      <w:r w:rsidRPr="0068656E">
        <w:rPr>
          <w:rFonts w:ascii="Times New Roman" w:hAnsi="Times New Roman" w:cs="Times New Roman"/>
          <w:color w:val="212121"/>
          <w:sz w:val="24"/>
          <w:szCs w:val="24"/>
          <w:lang w:val="en"/>
        </w:rPr>
        <w:t>is</w:t>
      </w:r>
      <w:r w:rsidR="00EC5B05" w:rsidRPr="0068656E">
        <w:rPr>
          <w:rFonts w:ascii="Times New Roman" w:hAnsi="Times New Roman" w:cs="Times New Roman"/>
          <w:color w:val="212121"/>
          <w:sz w:val="24"/>
          <w:szCs w:val="24"/>
          <w:lang w:val="en"/>
        </w:rPr>
        <w:t xml:space="preserve"> government consumption </w:t>
      </w:r>
      <w:r w:rsidR="0087277B" w:rsidRPr="0068656E">
        <w:rPr>
          <w:rFonts w:ascii="Times New Roman" w:hAnsi="Times New Roman" w:cs="Times New Roman"/>
          <w:color w:val="212121"/>
          <w:sz w:val="24"/>
          <w:szCs w:val="24"/>
          <w:lang w:val="en"/>
        </w:rPr>
        <w:t>at</w:t>
      </w:r>
      <w:r w:rsidR="00EC5B05" w:rsidRPr="0068656E">
        <w:rPr>
          <w:rFonts w:ascii="Times New Roman" w:hAnsi="Times New Roman" w:cs="Times New Roman"/>
          <w:color w:val="212121"/>
          <w:sz w:val="24"/>
          <w:szCs w:val="24"/>
          <w:lang w:val="en"/>
        </w:rPr>
        <w:t xml:space="preserve"> market prices</w:t>
      </w:r>
      <w:r w:rsidRPr="0068656E">
        <w:rPr>
          <w:rFonts w:ascii="Times New Roman" w:hAnsi="Times New Roman" w:cs="Times New Roman"/>
          <w:color w:val="212121"/>
          <w:sz w:val="24"/>
          <w:szCs w:val="24"/>
          <w:lang w:val="en"/>
        </w:rPr>
        <w:t>;</w:t>
      </w:r>
    </w:p>
    <w:p w14:paraId="00107798" w14:textId="77777777" w:rsidR="0059278C" w:rsidRPr="0068656E" w:rsidRDefault="004259B7" w:rsidP="00ED4EE3">
      <w:pPr>
        <w:pStyle w:val="Pr-formataoHTML"/>
        <w:shd w:val="clear" w:color="auto" w:fill="FFFFFF"/>
        <w:spacing w:line="480" w:lineRule="auto"/>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GFCF</w:t>
      </w:r>
      <w:r w:rsidR="0059278C" w:rsidRPr="0068656E">
        <w:rPr>
          <w:rFonts w:ascii="Times New Roman" w:hAnsi="Times New Roman" w:cs="Times New Roman"/>
          <w:color w:val="212121"/>
          <w:sz w:val="24"/>
          <w:szCs w:val="24"/>
          <w:lang w:val="en"/>
        </w:rPr>
        <w:t xml:space="preserve"> </w:t>
      </w:r>
      <w:r w:rsidR="00EC5B05" w:rsidRPr="0068656E">
        <w:rPr>
          <w:rFonts w:ascii="Times New Roman" w:hAnsi="Times New Roman" w:cs="Times New Roman"/>
          <w:color w:val="212121"/>
          <w:sz w:val="24"/>
          <w:szCs w:val="24"/>
          <w:lang w:val="en"/>
        </w:rPr>
        <w:t xml:space="preserve">→ </w:t>
      </w:r>
      <w:r w:rsidR="0059278C" w:rsidRPr="0068656E">
        <w:rPr>
          <w:rFonts w:ascii="Times New Roman" w:hAnsi="Times New Roman" w:cs="Times New Roman"/>
          <w:color w:val="212121"/>
          <w:sz w:val="24"/>
          <w:szCs w:val="24"/>
          <w:lang w:val="en"/>
        </w:rPr>
        <w:t xml:space="preserve">is the </w:t>
      </w:r>
      <w:r w:rsidR="00EC5B05" w:rsidRPr="0068656E">
        <w:rPr>
          <w:rFonts w:ascii="Times New Roman" w:hAnsi="Times New Roman" w:cs="Times New Roman"/>
          <w:color w:val="212121"/>
          <w:sz w:val="24"/>
          <w:szCs w:val="24"/>
          <w:lang w:val="en"/>
        </w:rPr>
        <w:t xml:space="preserve">gross fixed capital formation </w:t>
      </w:r>
      <w:r w:rsidR="0087277B" w:rsidRPr="0068656E">
        <w:rPr>
          <w:rFonts w:ascii="Times New Roman" w:hAnsi="Times New Roman" w:cs="Times New Roman"/>
          <w:color w:val="212121"/>
          <w:sz w:val="24"/>
          <w:szCs w:val="24"/>
          <w:lang w:val="en"/>
        </w:rPr>
        <w:t>at</w:t>
      </w:r>
      <w:r w:rsidR="00EC5B05" w:rsidRPr="0068656E">
        <w:rPr>
          <w:rFonts w:ascii="Times New Roman" w:hAnsi="Times New Roman" w:cs="Times New Roman"/>
          <w:color w:val="212121"/>
          <w:sz w:val="24"/>
          <w:szCs w:val="24"/>
          <w:lang w:val="en"/>
        </w:rPr>
        <w:t xml:space="preserve"> market prices</w:t>
      </w:r>
      <w:r w:rsidR="0059278C" w:rsidRPr="0068656E">
        <w:rPr>
          <w:rFonts w:ascii="Times New Roman" w:hAnsi="Times New Roman" w:cs="Times New Roman"/>
          <w:color w:val="212121"/>
          <w:sz w:val="24"/>
          <w:szCs w:val="24"/>
          <w:lang w:val="en"/>
        </w:rPr>
        <w:t>;</w:t>
      </w:r>
    </w:p>
    <w:p w14:paraId="12C8B180" w14:textId="77777777" w:rsidR="0059278C" w:rsidRPr="0068656E" w:rsidRDefault="00214BA8" w:rsidP="00ED4EE3">
      <w:pPr>
        <w:pStyle w:val="Pr-formataoHTML"/>
        <w:shd w:val="clear" w:color="auto" w:fill="FFFFFF"/>
        <w:spacing w:line="480" w:lineRule="auto"/>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CS</w:t>
      </w:r>
      <w:r w:rsidR="00EC5B05" w:rsidRPr="0068656E">
        <w:rPr>
          <w:rFonts w:ascii="Times New Roman" w:hAnsi="Times New Roman" w:cs="Times New Roman"/>
          <w:color w:val="212121"/>
          <w:sz w:val="24"/>
          <w:szCs w:val="24"/>
          <w:lang w:val="en"/>
        </w:rPr>
        <w:t>→</w:t>
      </w:r>
      <w:r w:rsidR="0059278C" w:rsidRPr="0068656E">
        <w:rPr>
          <w:rFonts w:ascii="Times New Roman" w:hAnsi="Times New Roman" w:cs="Times New Roman"/>
          <w:color w:val="212121"/>
          <w:sz w:val="24"/>
          <w:szCs w:val="24"/>
          <w:lang w:val="en"/>
        </w:rPr>
        <w:t xml:space="preserve"> is the change </w:t>
      </w:r>
      <w:r w:rsidR="0087277B" w:rsidRPr="0068656E">
        <w:rPr>
          <w:rFonts w:ascii="Times New Roman" w:hAnsi="Times New Roman" w:cs="Times New Roman"/>
          <w:color w:val="212121"/>
          <w:sz w:val="24"/>
          <w:szCs w:val="24"/>
          <w:lang w:val="en"/>
        </w:rPr>
        <w:t>a</w:t>
      </w:r>
      <w:r w:rsidR="0059278C" w:rsidRPr="0068656E">
        <w:rPr>
          <w:rFonts w:ascii="Times New Roman" w:hAnsi="Times New Roman" w:cs="Times New Roman"/>
          <w:color w:val="212121"/>
          <w:sz w:val="24"/>
          <w:szCs w:val="24"/>
          <w:lang w:val="en"/>
        </w:rPr>
        <w:t xml:space="preserve"> stock market prices;</w:t>
      </w:r>
    </w:p>
    <w:p w14:paraId="384E4695" w14:textId="77777777" w:rsidR="0059278C" w:rsidRPr="0068656E" w:rsidRDefault="0059278C" w:rsidP="00ED4EE3">
      <w:pPr>
        <w:pStyle w:val="Pr-formataoHTML"/>
        <w:shd w:val="clear" w:color="auto" w:fill="FFFFFF"/>
        <w:spacing w:line="480" w:lineRule="auto"/>
        <w:jc w:val="both"/>
        <w:rPr>
          <w:rFonts w:ascii="Times New Roman" w:hAnsi="Times New Roman" w:cs="Times New Roman"/>
          <w:color w:val="212121"/>
          <w:sz w:val="24"/>
          <w:szCs w:val="24"/>
          <w:lang w:val="en"/>
        </w:rPr>
      </w:pPr>
      <w:r w:rsidRPr="0068656E">
        <w:rPr>
          <w:rFonts w:ascii="Times New Roman" w:hAnsi="Times New Roman" w:cs="Times New Roman"/>
          <w:color w:val="212121"/>
          <w:sz w:val="24"/>
          <w:szCs w:val="24"/>
          <w:lang w:val="en"/>
        </w:rPr>
        <w:t xml:space="preserve">X </w:t>
      </w:r>
      <w:r w:rsidR="00EC5B05" w:rsidRPr="0068656E">
        <w:rPr>
          <w:rFonts w:ascii="Times New Roman" w:hAnsi="Times New Roman" w:cs="Times New Roman"/>
          <w:color w:val="212121"/>
          <w:sz w:val="24"/>
          <w:szCs w:val="24"/>
          <w:lang w:val="en"/>
        </w:rPr>
        <w:t>→ are exportations</w:t>
      </w:r>
      <w:r w:rsidRPr="0068656E">
        <w:rPr>
          <w:rFonts w:ascii="Times New Roman" w:hAnsi="Times New Roman" w:cs="Times New Roman"/>
          <w:color w:val="212121"/>
          <w:sz w:val="24"/>
          <w:szCs w:val="24"/>
          <w:lang w:val="en"/>
        </w:rPr>
        <w:t>;</w:t>
      </w:r>
    </w:p>
    <w:p w14:paraId="2DF68369" w14:textId="77777777" w:rsidR="0059278C" w:rsidRPr="0068656E" w:rsidRDefault="0059278C" w:rsidP="00ED4EE3">
      <w:pPr>
        <w:pStyle w:val="Pr-formataoHTML"/>
        <w:shd w:val="clear" w:color="auto" w:fill="FFFFFF"/>
        <w:spacing w:line="480" w:lineRule="auto"/>
        <w:jc w:val="both"/>
        <w:rPr>
          <w:rFonts w:ascii="Times New Roman" w:hAnsi="Times New Roman" w:cs="Times New Roman"/>
          <w:color w:val="212121"/>
          <w:sz w:val="24"/>
          <w:szCs w:val="24"/>
          <w:lang w:val="en"/>
        </w:rPr>
      </w:pPr>
      <w:r w:rsidRPr="0068656E">
        <w:rPr>
          <w:rFonts w:ascii="Times New Roman" w:hAnsi="Times New Roman" w:cs="Times New Roman"/>
          <w:color w:val="212121"/>
          <w:sz w:val="24"/>
          <w:szCs w:val="24"/>
          <w:lang w:val="en"/>
        </w:rPr>
        <w:t>M</w:t>
      </w:r>
      <w:r w:rsidR="00EC5B05" w:rsidRPr="0068656E">
        <w:rPr>
          <w:rFonts w:ascii="Times New Roman" w:hAnsi="Times New Roman" w:cs="Times New Roman"/>
          <w:color w:val="212121"/>
          <w:sz w:val="24"/>
          <w:szCs w:val="24"/>
          <w:lang w:val="en"/>
        </w:rPr>
        <w:t xml:space="preserve"> → are importations</w:t>
      </w:r>
      <w:r w:rsidRPr="0068656E">
        <w:rPr>
          <w:rFonts w:ascii="Times New Roman" w:hAnsi="Times New Roman" w:cs="Times New Roman"/>
          <w:color w:val="212121"/>
          <w:sz w:val="24"/>
          <w:szCs w:val="24"/>
          <w:lang w:val="en"/>
        </w:rPr>
        <w:t>;</w:t>
      </w:r>
    </w:p>
    <w:p w14:paraId="651C2D22" w14:textId="77777777" w:rsidR="0059278C" w:rsidRPr="0068656E" w:rsidRDefault="0059278C" w:rsidP="00ED4EE3">
      <w:pPr>
        <w:pStyle w:val="Pr-formataoHTML"/>
        <w:shd w:val="clear" w:color="auto" w:fill="FFFFFF"/>
        <w:spacing w:line="480" w:lineRule="auto"/>
        <w:jc w:val="both"/>
        <w:rPr>
          <w:rFonts w:ascii="Times New Roman" w:hAnsi="Times New Roman" w:cs="Times New Roman"/>
          <w:color w:val="212121"/>
          <w:sz w:val="24"/>
          <w:szCs w:val="24"/>
          <w:lang w:val="en"/>
        </w:rPr>
      </w:pPr>
      <w:r w:rsidRPr="0068656E">
        <w:rPr>
          <w:rFonts w:ascii="Times New Roman" w:hAnsi="Times New Roman" w:cs="Times New Roman"/>
          <w:color w:val="212121"/>
          <w:sz w:val="24"/>
          <w:szCs w:val="24"/>
          <w:lang w:val="en"/>
        </w:rPr>
        <w:t>W → i</w:t>
      </w:r>
      <w:r w:rsidR="00EC5B05" w:rsidRPr="0068656E">
        <w:rPr>
          <w:rFonts w:ascii="Times New Roman" w:hAnsi="Times New Roman" w:cs="Times New Roman"/>
          <w:color w:val="212121"/>
          <w:sz w:val="24"/>
          <w:szCs w:val="24"/>
          <w:lang w:val="en"/>
        </w:rPr>
        <w:t>s the reward of the employees</w:t>
      </w:r>
      <w:r w:rsidR="005210D6">
        <w:rPr>
          <w:rFonts w:ascii="Times New Roman" w:hAnsi="Times New Roman" w:cs="Times New Roman"/>
          <w:color w:val="212121"/>
          <w:sz w:val="24"/>
          <w:szCs w:val="24"/>
          <w:lang w:val="en"/>
        </w:rPr>
        <w:t xml:space="preserve"> and</w:t>
      </w:r>
      <w:r w:rsidRPr="0068656E">
        <w:rPr>
          <w:rFonts w:ascii="Times New Roman" w:hAnsi="Times New Roman" w:cs="Times New Roman"/>
          <w:color w:val="212121"/>
          <w:sz w:val="24"/>
          <w:szCs w:val="24"/>
          <w:lang w:val="en"/>
        </w:rPr>
        <w:t>;</w:t>
      </w:r>
    </w:p>
    <w:p w14:paraId="04FC50F7" w14:textId="77777777" w:rsidR="0059278C" w:rsidRPr="0068656E" w:rsidRDefault="000545A2" w:rsidP="00ED4EE3">
      <w:pPr>
        <w:pStyle w:val="Pr-formataoHTML"/>
        <w:shd w:val="clear" w:color="auto" w:fill="FFFFFF"/>
        <w:jc w:val="both"/>
        <w:rPr>
          <w:rFonts w:ascii="Times New Roman" w:hAnsi="Times New Roman" w:cs="Times New Roman"/>
          <w:color w:val="212121"/>
          <w:sz w:val="24"/>
          <w:szCs w:val="24"/>
          <w:lang w:val="en-US"/>
        </w:rPr>
      </w:pPr>
      <w:r>
        <w:rPr>
          <w:rFonts w:ascii="Times New Roman" w:hAnsi="Times New Roman" w:cs="Times New Roman"/>
          <w:color w:val="212121"/>
          <w:sz w:val="24"/>
          <w:szCs w:val="24"/>
          <w:lang w:val="en"/>
        </w:rPr>
        <w:t>GOS</w:t>
      </w:r>
      <w:r w:rsidR="00EC5B05" w:rsidRPr="0068656E">
        <w:rPr>
          <w:rFonts w:ascii="Times New Roman" w:hAnsi="Times New Roman" w:cs="Times New Roman"/>
          <w:color w:val="212121"/>
          <w:sz w:val="24"/>
          <w:szCs w:val="24"/>
          <w:lang w:val="en"/>
        </w:rPr>
        <w:t xml:space="preserve"> → </w:t>
      </w:r>
      <w:r w:rsidR="0059278C" w:rsidRPr="0068656E">
        <w:rPr>
          <w:rFonts w:ascii="Times New Roman" w:hAnsi="Times New Roman" w:cs="Times New Roman"/>
          <w:color w:val="212121"/>
          <w:sz w:val="24"/>
          <w:szCs w:val="24"/>
          <w:lang w:val="en"/>
        </w:rPr>
        <w:t>is the gross operating surplus.</w:t>
      </w:r>
    </w:p>
    <w:p w14:paraId="5EBABE83" w14:textId="77777777" w:rsidR="0059278C" w:rsidRPr="0068656E" w:rsidRDefault="0059278C" w:rsidP="00ED4EE3">
      <w:pPr>
        <w:jc w:val="both"/>
        <w:rPr>
          <w:rFonts w:ascii="Times New Roman" w:hAnsi="Times New Roman" w:cs="Times New Roman"/>
          <w:lang w:val="en-US"/>
        </w:rPr>
      </w:pPr>
    </w:p>
    <w:p w14:paraId="3D2B9CEE" w14:textId="77777777" w:rsidR="00713BB4" w:rsidRPr="002444A4" w:rsidRDefault="00713BB4" w:rsidP="00ED4EE3">
      <w:pPr>
        <w:jc w:val="both"/>
        <w:rPr>
          <w:rFonts w:ascii="Times New Roman" w:hAnsi="Times New Roman" w:cs="Times New Roman"/>
          <w:lang w:val="en-US"/>
        </w:rPr>
      </w:pPr>
    </w:p>
    <w:p w14:paraId="4D301B2B" w14:textId="77777777" w:rsidR="00713BB4" w:rsidRPr="0068656E" w:rsidRDefault="00713BB4"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lastRenderedPageBreak/>
        <w:t xml:space="preserve">The mensuration of the GDP of Brazil and Northeast sugar and alcohol sector, in this work, it is carried out under the production view. This approach requires less statistic </w:t>
      </w:r>
      <w:r w:rsidR="0053386E" w:rsidRPr="0068656E">
        <w:rPr>
          <w:rFonts w:ascii="Times New Roman" w:hAnsi="Times New Roman" w:cs="Times New Roman"/>
          <w:lang w:val="en-US"/>
        </w:rPr>
        <w:t>information and has been used on the most on the literature of dimensioning agribusiness GDP</w:t>
      </w:r>
      <w:r w:rsidR="00881E77">
        <w:rPr>
          <w:rStyle w:val="Refdenotaderodap"/>
          <w:rFonts w:ascii="Times New Roman" w:hAnsi="Times New Roman" w:cs="Times New Roman"/>
          <w:lang w:val="en-US"/>
        </w:rPr>
        <w:footnoteReference w:id="6"/>
      </w:r>
      <w:r w:rsidR="0053386E" w:rsidRPr="0068656E">
        <w:rPr>
          <w:rFonts w:ascii="Times New Roman" w:hAnsi="Times New Roman" w:cs="Times New Roman"/>
          <w:lang w:val="en-US"/>
        </w:rPr>
        <w:t xml:space="preserve">. In this work, the GDP composition is divided into four aggregates. </w:t>
      </w:r>
    </w:p>
    <w:p w14:paraId="1535AD2B" w14:textId="77777777" w:rsidR="0053386E" w:rsidRPr="0068656E" w:rsidRDefault="0053386E" w:rsidP="00ED4EE3">
      <w:pPr>
        <w:jc w:val="both"/>
        <w:rPr>
          <w:rFonts w:ascii="Times New Roman" w:hAnsi="Times New Roman" w:cs="Times New Roman"/>
          <w:lang w:val="en-US"/>
        </w:rPr>
      </w:pPr>
    </w:p>
    <w:p w14:paraId="4740FBEC" w14:textId="77777777" w:rsidR="0053386E" w:rsidRPr="0068656E" w:rsidRDefault="0053386E" w:rsidP="00ED4EE3">
      <w:pPr>
        <w:numPr>
          <w:ilvl w:val="0"/>
          <w:numId w:val="1"/>
        </w:numPr>
        <w:spacing w:line="480" w:lineRule="auto"/>
        <w:jc w:val="both"/>
        <w:rPr>
          <w:rFonts w:ascii="Times New Roman" w:hAnsi="Times New Roman" w:cs="Times New Roman"/>
          <w:lang w:val="en-US"/>
        </w:rPr>
      </w:pPr>
      <w:r w:rsidRPr="0068656E">
        <w:rPr>
          <w:rFonts w:ascii="Times New Roman" w:hAnsi="Times New Roman" w:cs="Times New Roman"/>
          <w:lang w:val="en-US"/>
        </w:rPr>
        <w:t>Aggregate I</w:t>
      </w:r>
      <w:r w:rsidR="00776E9C">
        <w:rPr>
          <w:rFonts w:ascii="Times New Roman" w:hAnsi="Times New Roman" w:cs="Times New Roman"/>
          <w:lang w:val="en-US"/>
        </w:rPr>
        <w:t>:</w:t>
      </w:r>
      <w:r w:rsidRPr="0068656E">
        <w:rPr>
          <w:rFonts w:ascii="Times New Roman" w:hAnsi="Times New Roman" w:cs="Times New Roman"/>
          <w:lang w:val="en-US"/>
        </w:rPr>
        <w:t xml:space="preserve"> (suppliers of goods and inputs to agro-livestock)</w:t>
      </w:r>
    </w:p>
    <w:p w14:paraId="230D7A82" w14:textId="77777777" w:rsidR="0053386E" w:rsidRPr="0068656E" w:rsidRDefault="0053386E" w:rsidP="00ED4EE3">
      <w:pPr>
        <w:numPr>
          <w:ilvl w:val="0"/>
          <w:numId w:val="1"/>
        </w:numPr>
        <w:spacing w:line="480" w:lineRule="auto"/>
        <w:jc w:val="both"/>
        <w:rPr>
          <w:rFonts w:ascii="Times New Roman" w:hAnsi="Times New Roman" w:cs="Times New Roman"/>
          <w:lang w:val="en-US"/>
        </w:rPr>
      </w:pPr>
      <w:r w:rsidRPr="0068656E">
        <w:rPr>
          <w:rFonts w:ascii="Times New Roman" w:hAnsi="Times New Roman" w:cs="Times New Roman"/>
          <w:lang w:val="en-US"/>
        </w:rPr>
        <w:t>Aggregate II</w:t>
      </w:r>
      <w:r w:rsidR="00776E9C">
        <w:rPr>
          <w:rFonts w:ascii="Times New Roman" w:hAnsi="Times New Roman" w:cs="Times New Roman"/>
          <w:lang w:val="en-US"/>
        </w:rPr>
        <w:t>:</w:t>
      </w:r>
      <w:r w:rsidRPr="0068656E">
        <w:rPr>
          <w:rFonts w:ascii="Times New Roman" w:hAnsi="Times New Roman" w:cs="Times New Roman"/>
          <w:lang w:val="en-US"/>
        </w:rPr>
        <w:t xml:space="preserve"> (livestock production)</w:t>
      </w:r>
    </w:p>
    <w:p w14:paraId="572184AC" w14:textId="77777777" w:rsidR="0053386E" w:rsidRPr="0068656E" w:rsidRDefault="0053386E" w:rsidP="00ED4EE3">
      <w:pPr>
        <w:numPr>
          <w:ilvl w:val="0"/>
          <w:numId w:val="1"/>
        </w:numPr>
        <w:spacing w:line="480" w:lineRule="auto"/>
        <w:jc w:val="both"/>
        <w:rPr>
          <w:rFonts w:ascii="Times New Roman" w:hAnsi="Times New Roman" w:cs="Times New Roman"/>
          <w:lang w:val="en-US"/>
        </w:rPr>
      </w:pPr>
      <w:r w:rsidRPr="0068656E">
        <w:rPr>
          <w:rFonts w:ascii="Times New Roman" w:hAnsi="Times New Roman" w:cs="Times New Roman"/>
          <w:lang w:val="en-US"/>
        </w:rPr>
        <w:t>Aggregate III</w:t>
      </w:r>
      <w:r w:rsidR="00776E9C">
        <w:rPr>
          <w:rFonts w:ascii="Times New Roman" w:hAnsi="Times New Roman" w:cs="Times New Roman"/>
          <w:lang w:val="en-US"/>
        </w:rPr>
        <w:t>:</w:t>
      </w:r>
      <w:r w:rsidRPr="0068656E">
        <w:rPr>
          <w:rFonts w:ascii="Times New Roman" w:hAnsi="Times New Roman" w:cs="Times New Roman"/>
          <w:lang w:val="en-US"/>
        </w:rPr>
        <w:t xml:space="preserve"> (processing and industrialization of livestock goods)</w:t>
      </w:r>
    </w:p>
    <w:p w14:paraId="3BEBA435" w14:textId="77777777" w:rsidR="00713BB4" w:rsidRPr="0068656E" w:rsidRDefault="0053386E" w:rsidP="00ED4EE3">
      <w:pPr>
        <w:numPr>
          <w:ilvl w:val="0"/>
          <w:numId w:val="1"/>
        </w:numPr>
        <w:spacing w:line="480" w:lineRule="auto"/>
        <w:jc w:val="both"/>
        <w:rPr>
          <w:rFonts w:ascii="Times New Roman" w:hAnsi="Times New Roman" w:cs="Times New Roman"/>
          <w:lang w:val="en-US"/>
        </w:rPr>
      </w:pPr>
      <w:r w:rsidRPr="0068656E">
        <w:rPr>
          <w:rFonts w:ascii="Times New Roman" w:hAnsi="Times New Roman" w:cs="Times New Roman"/>
          <w:lang w:val="en-US"/>
        </w:rPr>
        <w:t>Aggregate IV</w:t>
      </w:r>
      <w:r w:rsidR="00776E9C">
        <w:rPr>
          <w:rFonts w:ascii="Times New Roman" w:hAnsi="Times New Roman" w:cs="Times New Roman"/>
          <w:lang w:val="en-US"/>
        </w:rPr>
        <w:t>:</w:t>
      </w:r>
      <w:r w:rsidRPr="0068656E">
        <w:rPr>
          <w:rFonts w:ascii="Times New Roman" w:hAnsi="Times New Roman" w:cs="Times New Roman"/>
          <w:lang w:val="en-US"/>
        </w:rPr>
        <w:t xml:space="preserve"> (agro-livestock product distribution)</w:t>
      </w:r>
    </w:p>
    <w:p w14:paraId="5A076A68" w14:textId="77777777" w:rsidR="004B63EF" w:rsidRPr="00216768" w:rsidRDefault="004B63EF" w:rsidP="00ED4EE3">
      <w:pPr>
        <w:ind w:left="360"/>
        <w:jc w:val="both"/>
        <w:rPr>
          <w:rFonts w:ascii="Times New Roman" w:hAnsi="Times New Roman" w:cs="Times New Roman"/>
          <w:lang w:val="en-US"/>
        </w:rPr>
      </w:pPr>
    </w:p>
    <w:p w14:paraId="6989F9DC" w14:textId="77777777" w:rsidR="0053386E" w:rsidRPr="0068656E" w:rsidRDefault="0053386E" w:rsidP="00ED4EE3">
      <w:pPr>
        <w:spacing w:line="480" w:lineRule="auto"/>
        <w:ind w:firstLine="360"/>
        <w:jc w:val="both"/>
        <w:rPr>
          <w:rFonts w:ascii="Times New Roman" w:hAnsi="Times New Roman" w:cs="Times New Roman"/>
          <w:lang w:val="en-US"/>
        </w:rPr>
      </w:pPr>
      <w:r w:rsidRPr="0068656E">
        <w:rPr>
          <w:rFonts w:ascii="Times New Roman" w:hAnsi="Times New Roman" w:cs="Times New Roman"/>
          <w:lang w:val="en-US"/>
        </w:rPr>
        <w:t xml:space="preserve">In this sense, the next section of this work is about to dimensioning each one of these aggregates of the sugar and alcohol agroindustrial complex in order to obtain full gross domestic product of the sector under study as well as to identify the aggregate with large volume of production and, consequently, bigger representativity. Thus, adjusting the </w:t>
      </w:r>
      <w:r w:rsidRPr="00EC5E18">
        <w:rPr>
          <w:rFonts w:ascii="Times New Roman" w:hAnsi="Times New Roman" w:cs="Times New Roman"/>
          <w:i/>
          <w:lang w:val="en-US"/>
        </w:rPr>
        <w:t>policy makers</w:t>
      </w:r>
      <w:r w:rsidRPr="0068656E">
        <w:rPr>
          <w:rFonts w:ascii="Times New Roman" w:hAnsi="Times New Roman" w:cs="Times New Roman"/>
          <w:lang w:val="en-US"/>
        </w:rPr>
        <w:t xml:space="preserve"> to which sectors deserves more attention in function of the politics to be implemented.</w:t>
      </w:r>
    </w:p>
    <w:p w14:paraId="6D436435" w14:textId="77777777" w:rsidR="004B63EF" w:rsidRPr="0068656E" w:rsidRDefault="004B63EF" w:rsidP="00ED4EE3">
      <w:pPr>
        <w:jc w:val="both"/>
        <w:rPr>
          <w:rFonts w:ascii="Times New Roman" w:hAnsi="Times New Roman" w:cs="Times New Roman"/>
          <w:lang w:val="en-US"/>
        </w:rPr>
      </w:pPr>
    </w:p>
    <w:p w14:paraId="4D6825B0" w14:textId="77777777" w:rsidR="0053386E" w:rsidRPr="0068656E" w:rsidRDefault="0053386E" w:rsidP="00ED4EE3">
      <w:pPr>
        <w:jc w:val="both"/>
        <w:rPr>
          <w:rFonts w:ascii="Times New Roman" w:hAnsi="Times New Roman" w:cs="Times New Roman"/>
          <w:b/>
          <w:lang w:val="en-US"/>
        </w:rPr>
      </w:pPr>
      <w:r w:rsidRPr="0068656E">
        <w:rPr>
          <w:rFonts w:ascii="Times New Roman" w:hAnsi="Times New Roman" w:cs="Times New Roman"/>
          <w:b/>
          <w:lang w:val="en-US"/>
        </w:rPr>
        <w:t>4</w:t>
      </w:r>
      <w:r w:rsidR="003630F1" w:rsidRPr="0068656E">
        <w:rPr>
          <w:rFonts w:ascii="Times New Roman" w:hAnsi="Times New Roman" w:cs="Times New Roman"/>
          <w:b/>
          <w:lang w:val="en-US"/>
        </w:rPr>
        <w:t>.</w:t>
      </w:r>
      <w:r w:rsidRPr="0068656E">
        <w:rPr>
          <w:rFonts w:ascii="Times New Roman" w:hAnsi="Times New Roman" w:cs="Times New Roman"/>
          <w:b/>
          <w:lang w:val="en-US"/>
        </w:rPr>
        <w:t>1 Quantification of the Aggregate I</w:t>
      </w:r>
    </w:p>
    <w:p w14:paraId="2F7AA216" w14:textId="77777777" w:rsidR="004B63EF" w:rsidRPr="0068656E" w:rsidRDefault="004B63EF" w:rsidP="00ED4EE3">
      <w:pPr>
        <w:jc w:val="both"/>
        <w:rPr>
          <w:rFonts w:ascii="Times New Roman" w:hAnsi="Times New Roman" w:cs="Times New Roman"/>
          <w:lang w:val="en-US"/>
        </w:rPr>
      </w:pPr>
    </w:p>
    <w:p w14:paraId="0EA8F4F8" w14:textId="77777777" w:rsidR="00D048AA" w:rsidRPr="0068656E" w:rsidRDefault="0053386E"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In the aggregate I it is found</w:t>
      </w:r>
      <w:r w:rsidR="00D048AA" w:rsidRPr="0068656E">
        <w:rPr>
          <w:rFonts w:ascii="Times New Roman" w:hAnsi="Times New Roman" w:cs="Times New Roman"/>
          <w:lang w:val="en-US"/>
        </w:rPr>
        <w:t xml:space="preserve"> the sectors which are “before the gate”, this is to say that they are suppliers of capital goods and inputs for the main activity of agribusiness, which is the agro-livestock itself. Following this hypothesis of input-output relation as constant, since there are no statistical data on the added value by the upstream agribusiness, this work attempts to estimate the gross domestic product of the Aggregate I by the intermediate consumption of the agro-livestock.</w:t>
      </w:r>
    </w:p>
    <w:p w14:paraId="02CA92CF" w14:textId="77777777" w:rsidR="0053386E" w:rsidRDefault="00D048AA"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lastRenderedPageBreak/>
        <w:tab/>
        <w:t>The information required for this calculation are available from input-</w:t>
      </w:r>
      <w:r w:rsidR="00ED1B08" w:rsidRPr="0068656E">
        <w:rPr>
          <w:rFonts w:ascii="Times New Roman" w:hAnsi="Times New Roman" w:cs="Times New Roman"/>
          <w:lang w:val="en-US"/>
        </w:rPr>
        <w:t>output</w:t>
      </w:r>
      <w:r w:rsidRPr="0068656E">
        <w:rPr>
          <w:rFonts w:ascii="Times New Roman" w:hAnsi="Times New Roman" w:cs="Times New Roman"/>
          <w:lang w:val="en-US"/>
        </w:rPr>
        <w:t xml:space="preserve"> tables. With this data, the first step is to calculate the Value Added Coefficient for activity,</w:t>
      </w:r>
      <w:r w:rsidR="007D3C84">
        <w:rPr>
          <w:rFonts w:ascii="Times New Roman" w:hAnsi="Times New Roman" w:cs="Times New Roman"/>
          <w:lang w:val="en-US"/>
        </w:rPr>
        <w:t xml:space="preserve"> </w:t>
      </w:r>
      <m:oMath>
        <m:r>
          <w:rPr>
            <w:rFonts w:ascii="Cambria Math" w:hAnsi="Cambria Math" w:cs="Times New Roman"/>
            <w:lang w:val="en-US"/>
          </w:rPr>
          <m:t>VAC's</m:t>
        </m:r>
      </m:oMath>
      <w:r w:rsidRPr="0068656E">
        <w:rPr>
          <w:rFonts w:ascii="Times New Roman" w:hAnsi="Times New Roman" w:cs="Times New Roman"/>
          <w:lang w:val="en-US"/>
        </w:rPr>
        <w:t>. These are obtained through the reason between the intermediate value of consumption in the sector</w:t>
      </w:r>
      <w:r w:rsidR="007D3C84">
        <w:rPr>
          <w:rFonts w:ascii="Times New Roman" w:hAnsi="Times New Roman" w:cs="Times New Roman"/>
          <w:lang w:val="en-US"/>
        </w:rPr>
        <w:t xml:space="preserve"> </w:t>
      </w:r>
      <m:oMath>
        <m:r>
          <w:rPr>
            <w:rFonts w:ascii="Cambria Math" w:hAnsi="Cambria Math" w:cs="Times New Roman"/>
            <w:lang w:val="en-US"/>
          </w:rPr>
          <m:t>i</m:t>
        </m:r>
      </m:oMath>
      <w:r w:rsidRPr="0068656E">
        <w:rPr>
          <w:rFonts w:ascii="Times New Roman" w:hAnsi="Times New Roman" w:cs="Times New Roman"/>
          <w:lang w:val="en-US"/>
        </w:rPr>
        <w:t>. Right after</w:t>
      </w:r>
      <w:r w:rsidR="007D3C84">
        <w:rPr>
          <w:rFonts w:ascii="Times New Roman" w:hAnsi="Times New Roman" w:cs="Times New Roman"/>
          <w:lang w:val="en-US"/>
        </w:rPr>
        <w:t xml:space="preserve"> </w:t>
      </w:r>
      <m:oMath>
        <m:r>
          <w:rPr>
            <w:rFonts w:ascii="Cambria Math" w:hAnsi="Cambria Math" w:cs="Times New Roman"/>
            <w:lang w:val="en-US"/>
          </w:rPr>
          <m:t>VAC's</m:t>
        </m:r>
      </m:oMath>
      <w:r w:rsidR="007D3C84">
        <w:rPr>
          <w:rFonts w:ascii="Times New Roman" w:hAnsi="Times New Roman" w:cs="Times New Roman"/>
          <w:lang w:val="en-US"/>
        </w:rPr>
        <w:t xml:space="preserve"> </w:t>
      </w:r>
      <w:r w:rsidRPr="0068656E">
        <w:rPr>
          <w:rFonts w:ascii="Times New Roman" w:hAnsi="Times New Roman" w:cs="Times New Roman"/>
          <w:lang w:val="en-US"/>
        </w:rPr>
        <w:t xml:space="preserve">estimation it is possible to </w:t>
      </w:r>
      <w:r w:rsidR="002C2E83" w:rsidRPr="0068656E">
        <w:rPr>
          <w:rFonts w:ascii="Times New Roman" w:hAnsi="Times New Roman" w:cs="Times New Roman"/>
          <w:lang w:val="en-US"/>
        </w:rPr>
        <w:t xml:space="preserve">extract the portion of the </w:t>
      </w:r>
      <w:r w:rsidRPr="0068656E">
        <w:rPr>
          <w:rFonts w:ascii="Times New Roman" w:hAnsi="Times New Roman" w:cs="Times New Roman"/>
          <w:lang w:val="en-US"/>
        </w:rPr>
        <w:t>value added</w:t>
      </w:r>
      <w:r w:rsidR="002C2E83" w:rsidRPr="0068656E">
        <w:rPr>
          <w:rFonts w:ascii="Times New Roman" w:hAnsi="Times New Roman" w:cs="Times New Roman"/>
          <w:lang w:val="en-US"/>
        </w:rPr>
        <w:t xml:space="preserve"> in each of the suppliers sectors of inputs and capital goods for agribusiness following the equation:</w:t>
      </w:r>
    </w:p>
    <w:tbl>
      <w:tblPr>
        <w:tblStyle w:val="Tabelacomgrade"/>
        <w:tblW w:w="8557" w:type="dxa"/>
        <w:jc w:val="center"/>
        <w:tblLook w:val="04A0" w:firstRow="1" w:lastRow="0" w:firstColumn="1" w:lastColumn="0" w:noHBand="0" w:noVBand="1"/>
      </w:tblPr>
      <w:tblGrid>
        <w:gridCol w:w="7933"/>
        <w:gridCol w:w="624"/>
      </w:tblGrid>
      <w:tr w:rsidR="00370621" w14:paraId="76B1C918" w14:textId="77777777" w:rsidTr="005B25D7">
        <w:trPr>
          <w:jc w:val="center"/>
        </w:trPr>
        <w:tc>
          <w:tcPr>
            <w:tcW w:w="7933" w:type="dxa"/>
            <w:vAlign w:val="center"/>
          </w:tcPr>
          <w:p w14:paraId="306EB1F8" w14:textId="77777777" w:rsidR="00370621" w:rsidRDefault="003949D9" w:rsidP="00370621">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i</m:t>
                    </m:r>
                  </m:sub>
                </m:sSub>
                <m:r>
                  <w:rPr>
                    <w:rFonts w:ascii="Cambria Math" w:hAnsi="Cambria Math" w:cs="Times New Roman"/>
                    <w:lang w:val="en-US"/>
                  </w:rPr>
                  <m:t>=</m:t>
                </m:r>
                <m:nary>
                  <m:naryPr>
                    <m:chr m:val="∑"/>
                    <m:limLoc m:val="undOvr"/>
                    <m:ctrlPr>
                      <w:rPr>
                        <w:rFonts w:ascii="Cambria Math" w:hAnsi="Cambria Math" w:cs="Times New Roman"/>
                        <w:i/>
                        <w:lang w:val="en-US"/>
                      </w:rPr>
                    </m:ctrlPr>
                  </m:naryPr>
                  <m:sub>
                    <m:r>
                      <w:rPr>
                        <w:rFonts w:ascii="Cambria Math" w:hAnsi="Cambria Math" w:cs="Times New Roman"/>
                        <w:lang w:val="en-US"/>
                      </w:rPr>
                      <m:t>i=1</m:t>
                    </m:r>
                  </m:sub>
                  <m:sup>
                    <m:r>
                      <w:rPr>
                        <w:rFonts w:ascii="Cambria Math" w:hAnsi="Cambria Math" w:cs="Times New Roman"/>
                        <w:lang w:val="en-US"/>
                      </w:rPr>
                      <m:t>n</m:t>
                    </m:r>
                  </m:sup>
                  <m:e>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den>
                        </m:f>
                      </m:e>
                    </m:d>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i</m:t>
                        </m:r>
                      </m:sub>
                    </m:sSub>
                    <m:r>
                      <w:rPr>
                        <w:rFonts w:ascii="Cambria Math" w:hAnsi="Cambria Math" w:cs="Times New Roman"/>
                        <w:lang w:val="en-US"/>
                      </w:rPr>
                      <m:t>;</m:t>
                    </m:r>
                  </m:e>
                </m:nary>
              </m:oMath>
            </m:oMathPara>
          </w:p>
        </w:tc>
        <w:tc>
          <w:tcPr>
            <w:tcW w:w="624" w:type="dxa"/>
            <w:vAlign w:val="center"/>
          </w:tcPr>
          <w:p w14:paraId="5B8E21C1" w14:textId="77777777" w:rsidR="00370621" w:rsidRDefault="00370621" w:rsidP="00370621">
            <w:pPr>
              <w:jc w:val="center"/>
              <w:rPr>
                <w:rFonts w:ascii="Times New Roman" w:hAnsi="Times New Roman" w:cs="Times New Roman"/>
                <w:lang w:val="en-US"/>
              </w:rPr>
            </w:pPr>
            <w:r>
              <w:rPr>
                <w:rFonts w:ascii="Times New Roman" w:hAnsi="Times New Roman" w:cs="Times New Roman"/>
                <w:lang w:val="en-US"/>
              </w:rPr>
              <w:t>(6)</w:t>
            </w:r>
          </w:p>
        </w:tc>
      </w:tr>
    </w:tbl>
    <w:p w14:paraId="1D7C91B6" w14:textId="77777777" w:rsidR="003630F1" w:rsidRPr="0068656E" w:rsidRDefault="003630F1" w:rsidP="00ED4EE3">
      <w:pPr>
        <w:jc w:val="both"/>
        <w:rPr>
          <w:rFonts w:ascii="Times New Roman" w:hAnsi="Times New Roman" w:cs="Times New Roman"/>
        </w:rPr>
      </w:pPr>
    </w:p>
    <w:p w14:paraId="4EEEAD7C" w14:textId="77777777" w:rsidR="003630F1" w:rsidRPr="0068656E" w:rsidRDefault="003630F1"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where</w:t>
      </w:r>
      <w:r w:rsidR="000D406D">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i1</m:t>
            </m:r>
          </m:sub>
        </m:sSub>
      </m:oMath>
      <w:r w:rsidR="000D406D">
        <w:rPr>
          <w:rFonts w:ascii="Times New Roman" w:hAnsi="Times New Roman" w:cs="Times New Roman"/>
          <w:lang w:val="en-US"/>
        </w:rPr>
        <w:t xml:space="preserve"> </w:t>
      </w:r>
      <w:r w:rsidRPr="0068656E">
        <w:rPr>
          <w:rFonts w:ascii="Times New Roman" w:hAnsi="Times New Roman" w:cs="Times New Roman"/>
          <w:lang w:val="en-US"/>
        </w:rPr>
        <w:t>represents one fraction of the value of the full producti</w:t>
      </w:r>
      <w:r w:rsidR="00C4515A" w:rsidRPr="0068656E">
        <w:rPr>
          <w:rFonts w:ascii="Times New Roman" w:hAnsi="Times New Roman" w:cs="Times New Roman"/>
          <w:lang w:val="en-US"/>
        </w:rPr>
        <w:t>on in sector</w:t>
      </w:r>
      <w:r w:rsidR="000D406D">
        <w:rPr>
          <w:rFonts w:ascii="Times New Roman" w:hAnsi="Times New Roman" w:cs="Times New Roman"/>
          <w:lang w:val="en-US"/>
        </w:rPr>
        <w:t xml:space="preserve"> </w:t>
      </w:r>
      <m:oMath>
        <m:r>
          <w:rPr>
            <w:rFonts w:ascii="Cambria Math" w:hAnsi="Cambria Math" w:cs="Times New Roman"/>
            <w:lang w:val="en-US"/>
          </w:rPr>
          <m:t>i</m:t>
        </m:r>
      </m:oMath>
      <w:r w:rsidR="00C4515A" w:rsidRPr="0068656E">
        <w:rPr>
          <w:rFonts w:ascii="Times New Roman" w:hAnsi="Times New Roman" w:cs="Times New Roman"/>
          <w:lang w:val="en-US"/>
        </w:rPr>
        <w:t xml:space="preserve">, </w:t>
      </w:r>
      <w:r w:rsidRPr="0068656E">
        <w:rPr>
          <w:rFonts w:ascii="Times New Roman" w:hAnsi="Times New Roman" w:cs="Times New Roman"/>
          <w:lang w:val="en-US"/>
        </w:rPr>
        <w:t xml:space="preserve">and </w:t>
      </w:r>
      <w:r w:rsidR="00C4515A" w:rsidRPr="0068656E">
        <w:rPr>
          <w:rFonts w:ascii="Times New Roman" w:hAnsi="Times New Roman" w:cs="Times New Roman"/>
          <w:lang w:val="en-US"/>
        </w:rPr>
        <w:t xml:space="preserve">also </w:t>
      </w:r>
      <w:r w:rsidRPr="0068656E">
        <w:rPr>
          <w:rFonts w:ascii="Times New Roman" w:hAnsi="Times New Roman" w:cs="Times New Roman"/>
          <w:lang w:val="en-US"/>
        </w:rPr>
        <w:t>it was used as intermediate consumption by the sugar and alcohol sector;</w:t>
      </w:r>
      <w:r w:rsidR="000D406D">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oMath>
      <w:r w:rsidR="000D406D">
        <w:rPr>
          <w:rFonts w:ascii="Times New Roman" w:hAnsi="Times New Roman" w:cs="Times New Roman"/>
          <w:lang w:val="en-US"/>
        </w:rPr>
        <w:t xml:space="preserve"> </w:t>
      </w:r>
      <w:r w:rsidRPr="0068656E">
        <w:rPr>
          <w:rFonts w:ascii="Times New Roman" w:hAnsi="Times New Roman" w:cs="Times New Roman"/>
          <w:lang w:val="en-US"/>
        </w:rPr>
        <w:t>is the full production of the sector</w:t>
      </w:r>
      <w:r w:rsidR="000D406D">
        <w:rPr>
          <w:rFonts w:ascii="Times New Roman" w:hAnsi="Times New Roman" w:cs="Times New Roman"/>
          <w:lang w:val="en-US"/>
        </w:rPr>
        <w:t xml:space="preserve"> </w:t>
      </w:r>
      <m:oMath>
        <m:r>
          <w:rPr>
            <w:rFonts w:ascii="Cambria Math" w:hAnsi="Cambria Math" w:cs="Times New Roman"/>
            <w:lang w:val="en-US"/>
          </w:rPr>
          <m:t>i</m:t>
        </m:r>
      </m:oMath>
      <w:r w:rsidRPr="0068656E">
        <w:rPr>
          <w:rFonts w:ascii="Times New Roman" w:hAnsi="Times New Roman" w:cs="Times New Roman"/>
          <w:lang w:val="en-US"/>
        </w:rPr>
        <w:t xml:space="preserve"> and</w:t>
      </w:r>
      <w:r w:rsidR="000D406D">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i</m:t>
            </m:r>
          </m:sub>
        </m:sSub>
      </m:oMath>
      <w:r w:rsidR="000D406D">
        <w:rPr>
          <w:rFonts w:ascii="Times New Roman" w:hAnsi="Times New Roman" w:cs="Times New Roman"/>
          <w:lang w:val="en-US"/>
        </w:rPr>
        <w:t xml:space="preserve"> </w:t>
      </w:r>
      <w:r w:rsidRPr="0068656E">
        <w:rPr>
          <w:rFonts w:ascii="Times New Roman" w:hAnsi="Times New Roman" w:cs="Times New Roman"/>
          <w:lang w:val="en-US"/>
        </w:rPr>
        <w:t>corresponds to the full added value of the sector</w:t>
      </w:r>
      <w:r w:rsidR="000D406D">
        <w:rPr>
          <w:rFonts w:ascii="Times New Roman" w:hAnsi="Times New Roman" w:cs="Times New Roman"/>
          <w:lang w:val="en-US"/>
        </w:rPr>
        <w:t xml:space="preserve"> </w:t>
      </w:r>
      <m:oMath>
        <m:r>
          <w:rPr>
            <w:rFonts w:ascii="Cambria Math" w:hAnsi="Cambria Math" w:cs="Times New Roman"/>
            <w:lang w:val="en-US"/>
          </w:rPr>
          <m:t>i</m:t>
        </m:r>
      </m:oMath>
      <w:r w:rsidR="000D406D">
        <w:rPr>
          <w:rFonts w:ascii="Times New Roman" w:hAnsi="Times New Roman" w:cs="Times New Roman"/>
          <w:lang w:val="en-US"/>
        </w:rPr>
        <w:t xml:space="preserve"> </w:t>
      </w:r>
      <w:r w:rsidRPr="0068656E">
        <w:rPr>
          <w:rFonts w:ascii="Times New Roman" w:hAnsi="Times New Roman" w:cs="Times New Roman"/>
          <w:lang w:val="en-US"/>
        </w:rPr>
        <w:t xml:space="preserve">– this value is on factor prices since the </w:t>
      </w:r>
      <w:r w:rsidR="00C4515A" w:rsidRPr="0068656E">
        <w:rPr>
          <w:rFonts w:ascii="Times New Roman" w:hAnsi="Times New Roman" w:cs="Times New Roman"/>
          <w:lang w:val="en-US"/>
        </w:rPr>
        <w:t xml:space="preserve">net </w:t>
      </w:r>
      <w:r w:rsidRPr="0068656E">
        <w:rPr>
          <w:rFonts w:ascii="Times New Roman" w:hAnsi="Times New Roman" w:cs="Times New Roman"/>
          <w:lang w:val="en-US"/>
        </w:rPr>
        <w:t>indirect taxes were extracted that reflects on the production.</w:t>
      </w:r>
    </w:p>
    <w:p w14:paraId="1B56477A" w14:textId="77777777" w:rsidR="00060A64" w:rsidRPr="0068656E" w:rsidRDefault="00060A64" w:rsidP="00ED4EE3">
      <w:pPr>
        <w:jc w:val="both"/>
        <w:rPr>
          <w:rFonts w:ascii="Times New Roman" w:hAnsi="Times New Roman" w:cs="Times New Roman"/>
          <w:lang w:val="en-US"/>
        </w:rPr>
      </w:pPr>
    </w:p>
    <w:p w14:paraId="5800C466" w14:textId="77777777" w:rsidR="003630F1" w:rsidRPr="0068656E" w:rsidRDefault="003630F1" w:rsidP="00ED4EE3">
      <w:pPr>
        <w:spacing w:line="480" w:lineRule="auto"/>
        <w:jc w:val="both"/>
        <w:rPr>
          <w:rFonts w:ascii="Times New Roman" w:hAnsi="Times New Roman" w:cs="Times New Roman"/>
          <w:b/>
          <w:lang w:val="en-US"/>
        </w:rPr>
      </w:pPr>
      <w:r w:rsidRPr="0068656E">
        <w:rPr>
          <w:rFonts w:ascii="Times New Roman" w:hAnsi="Times New Roman" w:cs="Times New Roman"/>
          <w:b/>
          <w:lang w:val="en-US"/>
        </w:rPr>
        <w:t>4.2 Quantification of the Aggregate II</w:t>
      </w:r>
    </w:p>
    <w:p w14:paraId="307B55EC" w14:textId="77777777" w:rsidR="00060A64" w:rsidRPr="004F5918" w:rsidRDefault="00060A64" w:rsidP="00ED4EE3">
      <w:pPr>
        <w:jc w:val="both"/>
        <w:rPr>
          <w:rFonts w:ascii="Times New Roman" w:hAnsi="Times New Roman" w:cs="Times New Roman"/>
          <w:lang w:val="en-US"/>
        </w:rPr>
      </w:pPr>
    </w:p>
    <w:p w14:paraId="069C028C" w14:textId="77777777" w:rsidR="003630F1" w:rsidRPr="0068656E" w:rsidRDefault="003630F1"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The agribusiness Aggregate II is composed by the core activities of this sector, that is, the agricultural activity itself. However, </w:t>
      </w:r>
      <w:r w:rsidR="00ED1B08" w:rsidRPr="0068656E">
        <w:rPr>
          <w:rFonts w:ascii="Times New Roman" w:hAnsi="Times New Roman" w:cs="Times New Roman"/>
          <w:lang w:val="en-US"/>
        </w:rPr>
        <w:t>in order to avoid the occurrence of double counting</w:t>
      </w:r>
      <w:r w:rsidR="00216768">
        <w:rPr>
          <w:rStyle w:val="Refdenotaderodap"/>
          <w:rFonts w:ascii="Times New Roman" w:hAnsi="Times New Roman" w:cs="Times New Roman"/>
          <w:lang w:val="en-US"/>
        </w:rPr>
        <w:footnoteReference w:id="7"/>
      </w:r>
      <w:r w:rsidR="00ED1B08" w:rsidRPr="0068656E">
        <w:rPr>
          <w:rFonts w:ascii="Times New Roman" w:hAnsi="Times New Roman" w:cs="Times New Roman"/>
          <w:lang w:val="en-US"/>
        </w:rPr>
        <w:t xml:space="preserve"> in the measurement of the Aggregate II and its added value, a procedure usually adopted on the literature from the analysis input-output is applied. Thus, it is subtracted from the added value at the cost factors of the core sector, a portion of the added value at cost factors already accounted in the capital goods and inputs purchased in upstream sectors related to their own acquisition that the </w:t>
      </w:r>
      <w:r w:rsidR="00F15BCA" w:rsidRPr="0068656E">
        <w:rPr>
          <w:rFonts w:ascii="Times New Roman" w:hAnsi="Times New Roman" w:cs="Times New Roman"/>
          <w:lang w:val="en-US"/>
        </w:rPr>
        <w:t>sector co</w:t>
      </w:r>
      <w:r w:rsidR="00ED1B08" w:rsidRPr="0068656E">
        <w:rPr>
          <w:rFonts w:ascii="Times New Roman" w:hAnsi="Times New Roman" w:cs="Times New Roman"/>
          <w:lang w:val="en-US"/>
        </w:rPr>
        <w:t>nducts itself.</w:t>
      </w:r>
    </w:p>
    <w:p w14:paraId="5457C370" w14:textId="77777777" w:rsidR="00BC2C61" w:rsidRDefault="00EF0AFD"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lastRenderedPageBreak/>
        <w:t xml:space="preserve">That is to say that, in this study, it is valid to subtract the added value at cost factors to the resulting upstream purchases that the sugar and alcohol sector carried out itself. It is highlighted that, if this procedure was not adopted, the GDP of Aggregate II would be underestimated </w:t>
      </w:r>
      <w:r w:rsidR="0087277B" w:rsidRPr="0068656E">
        <w:rPr>
          <w:rFonts w:ascii="Times New Roman" w:hAnsi="Times New Roman" w:cs="Times New Roman"/>
          <w:lang w:val="en-US"/>
        </w:rPr>
        <w:t xml:space="preserve">and, thus, possibly, it would wrongly indicate this aggregate of sugar and alcohol sector as it had large production volume and, consequently, this sector would have the biggest representativity. This could induce </w:t>
      </w:r>
      <w:r w:rsidR="0087277B" w:rsidRPr="008D5B25">
        <w:rPr>
          <w:rFonts w:ascii="Times New Roman" w:hAnsi="Times New Roman" w:cs="Times New Roman"/>
          <w:i/>
          <w:lang w:val="en-US"/>
        </w:rPr>
        <w:t>policy makers</w:t>
      </w:r>
      <w:r w:rsidR="0087277B" w:rsidRPr="0068656E">
        <w:rPr>
          <w:rFonts w:ascii="Times New Roman" w:hAnsi="Times New Roman" w:cs="Times New Roman"/>
          <w:lang w:val="en-US"/>
        </w:rPr>
        <w:t xml:space="preserve"> to formulation and direction of politics to this sector. The equation for the Aggregate II is giver by:</w:t>
      </w:r>
    </w:p>
    <w:tbl>
      <w:tblPr>
        <w:tblStyle w:val="Tabelacomgrade"/>
        <w:tblW w:w="8557" w:type="dxa"/>
        <w:jc w:val="center"/>
        <w:tblLook w:val="04A0" w:firstRow="1" w:lastRow="0" w:firstColumn="1" w:lastColumn="0" w:noHBand="0" w:noVBand="1"/>
      </w:tblPr>
      <w:tblGrid>
        <w:gridCol w:w="7933"/>
        <w:gridCol w:w="624"/>
      </w:tblGrid>
      <w:tr w:rsidR="00BC2C61" w14:paraId="2837D576" w14:textId="77777777" w:rsidTr="005B25D7">
        <w:trPr>
          <w:jc w:val="center"/>
        </w:trPr>
        <w:tc>
          <w:tcPr>
            <w:tcW w:w="7933" w:type="dxa"/>
            <w:vAlign w:val="center"/>
          </w:tcPr>
          <w:p w14:paraId="45F172DC" w14:textId="77777777" w:rsidR="00BC2C61" w:rsidRDefault="003949D9" w:rsidP="008D0D54">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II</m:t>
                    </m:r>
                  </m:sub>
                </m:sSub>
                <m:r>
                  <w:rPr>
                    <w:rFonts w:ascii="Cambria Math" w:hAnsi="Cambria Math" w:cs="Times New Roman"/>
                    <w:lang w:val="en-US"/>
                  </w:rPr>
                  <m:t>=</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1</m:t>
                        </m:r>
                      </m:sub>
                    </m:sSub>
                  </m:e>
                </m:d>
                <m:d>
                  <m:dPr>
                    <m:begChr m:val="["/>
                    <m:endChr m:val="]"/>
                    <m:ctrlPr>
                      <w:rPr>
                        <w:rFonts w:ascii="Cambria Math" w:hAnsi="Cambria Math" w:cs="Times New Roman"/>
                        <w:i/>
                        <w:lang w:val="en-US"/>
                      </w:rPr>
                    </m:ctrlPr>
                  </m:dPr>
                  <m:e>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1</m:t>
                            </m:r>
                          </m:sub>
                        </m:sSub>
                      </m:e>
                    </m:d>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i1</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den>
                        </m:f>
                      </m:e>
                    </m:d>
                  </m:e>
                </m:d>
                <m:r>
                  <w:rPr>
                    <w:rFonts w:ascii="Cambria Math" w:hAnsi="Cambria Math" w:cs="Times New Roman"/>
                    <w:lang w:val="en-US"/>
                  </w:rPr>
                  <m:t>;</m:t>
                </m:r>
              </m:oMath>
            </m:oMathPara>
          </w:p>
        </w:tc>
        <w:tc>
          <w:tcPr>
            <w:tcW w:w="624" w:type="dxa"/>
            <w:vAlign w:val="center"/>
          </w:tcPr>
          <w:p w14:paraId="35375EAD" w14:textId="77777777" w:rsidR="00BC2C61" w:rsidRDefault="00BC2C61" w:rsidP="008D0D54">
            <w:pPr>
              <w:jc w:val="center"/>
              <w:rPr>
                <w:rFonts w:ascii="Times New Roman" w:hAnsi="Times New Roman" w:cs="Times New Roman"/>
                <w:lang w:val="en-US"/>
              </w:rPr>
            </w:pPr>
            <w:r>
              <w:rPr>
                <w:rFonts w:ascii="Times New Roman" w:hAnsi="Times New Roman" w:cs="Times New Roman"/>
                <w:lang w:val="en-US"/>
              </w:rPr>
              <w:t>(7)</w:t>
            </w:r>
          </w:p>
        </w:tc>
      </w:tr>
    </w:tbl>
    <w:p w14:paraId="0104D5B4" w14:textId="77777777" w:rsidR="00BC2C61" w:rsidRDefault="00BC2C61" w:rsidP="00384EB0">
      <w:pPr>
        <w:jc w:val="both"/>
        <w:rPr>
          <w:rFonts w:ascii="Times New Roman" w:hAnsi="Times New Roman" w:cs="Times New Roman"/>
          <w:lang w:val="en-US"/>
        </w:rPr>
      </w:pPr>
    </w:p>
    <w:p w14:paraId="318718F5" w14:textId="77777777" w:rsidR="00060A64" w:rsidRPr="0068656E" w:rsidRDefault="0087277B"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 xml:space="preserve">where </w:t>
      </w:r>
      <m:oMath>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1</m:t>
            </m:r>
          </m:sub>
        </m:sSub>
      </m:oMath>
      <w:r w:rsidR="00356A26">
        <w:rPr>
          <w:rFonts w:ascii="Times New Roman" w:hAnsi="Times New Roman" w:cs="Times New Roman"/>
          <w:lang w:val="en-US"/>
        </w:rPr>
        <w:t xml:space="preserve"> </w:t>
      </w:r>
      <w:r w:rsidRPr="0068656E">
        <w:rPr>
          <w:rFonts w:ascii="Times New Roman" w:hAnsi="Times New Roman" w:cs="Times New Roman"/>
          <w:lang w:val="en-US"/>
        </w:rPr>
        <w:t xml:space="preserve">corresponds to the value </w:t>
      </w:r>
      <w:r w:rsidR="00C4515A" w:rsidRPr="0068656E">
        <w:rPr>
          <w:rFonts w:ascii="Times New Roman" w:hAnsi="Times New Roman" w:cs="Times New Roman"/>
          <w:lang w:val="en-US"/>
        </w:rPr>
        <w:t xml:space="preserve">added </w:t>
      </w:r>
      <w:r w:rsidRPr="0068656E">
        <w:rPr>
          <w:rFonts w:ascii="Times New Roman" w:hAnsi="Times New Roman" w:cs="Times New Roman"/>
          <w:lang w:val="en-US"/>
        </w:rPr>
        <w:t>at market</w:t>
      </w:r>
      <w:r w:rsidR="00C4515A" w:rsidRPr="0068656E">
        <w:rPr>
          <w:rFonts w:ascii="Times New Roman" w:hAnsi="Times New Roman" w:cs="Times New Roman"/>
          <w:lang w:val="en-US"/>
        </w:rPr>
        <w:t xml:space="preserve"> price to</w:t>
      </w:r>
      <w:r w:rsidRPr="0068656E">
        <w:rPr>
          <w:rFonts w:ascii="Times New Roman" w:hAnsi="Times New Roman" w:cs="Times New Roman"/>
          <w:lang w:val="en-US"/>
        </w:rPr>
        <w:t xml:space="preserve"> the sugar and alcohol sector;</w:t>
      </w:r>
      <w:r w:rsidR="00356A26">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1</m:t>
            </m:r>
          </m:sub>
        </m:sSub>
      </m:oMath>
      <w:r w:rsidR="00356A26">
        <w:rPr>
          <w:rFonts w:ascii="Times New Roman" w:hAnsi="Times New Roman" w:cs="Times New Roman"/>
          <w:lang w:val="en-US"/>
        </w:rPr>
        <w:t xml:space="preserve"> </w:t>
      </w:r>
      <w:r w:rsidRPr="0068656E">
        <w:rPr>
          <w:rFonts w:ascii="Times New Roman" w:hAnsi="Times New Roman" w:cs="Times New Roman"/>
          <w:lang w:val="en-US"/>
        </w:rPr>
        <w:t xml:space="preserve">is the </w:t>
      </w:r>
      <w:r w:rsidR="00C4515A" w:rsidRPr="0068656E">
        <w:rPr>
          <w:rFonts w:ascii="Times New Roman" w:hAnsi="Times New Roman" w:cs="Times New Roman"/>
          <w:lang w:val="en-US"/>
        </w:rPr>
        <w:t xml:space="preserve">net indirect </w:t>
      </w:r>
      <w:r w:rsidRPr="0068656E">
        <w:rPr>
          <w:rFonts w:ascii="Times New Roman" w:hAnsi="Times New Roman" w:cs="Times New Roman"/>
          <w:lang w:val="en-US"/>
        </w:rPr>
        <w:t>taxes that focus on the production of the sugar and alcohol sector and</w:t>
      </w:r>
      <w:r w:rsidR="00356A26">
        <w:rPr>
          <w:rFonts w:ascii="Times New Roman" w:hAnsi="Times New Roman" w:cs="Times New Roman"/>
          <w:lang w:val="en-US"/>
        </w:rPr>
        <w:t xml:space="preserve">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1</m:t>
                </m:r>
              </m:sub>
            </m:sSub>
          </m:e>
        </m:d>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i1</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den>
            </m:f>
          </m:e>
        </m:d>
      </m:oMath>
      <w:r w:rsidR="00356A26">
        <w:rPr>
          <w:rFonts w:ascii="Times New Roman" w:hAnsi="Times New Roman" w:cs="Times New Roman"/>
          <w:lang w:val="en-US"/>
        </w:rPr>
        <w:t xml:space="preserve"> </w:t>
      </w:r>
      <w:r w:rsidRPr="0068656E">
        <w:rPr>
          <w:rFonts w:ascii="Times New Roman" w:hAnsi="Times New Roman" w:cs="Times New Roman"/>
          <w:lang w:val="en-US"/>
        </w:rPr>
        <w:t>represents the deduction of acquired portions by the sugar and alcohol sector in this sector, and accounted in the Aggregate I</w:t>
      </w:r>
    </w:p>
    <w:p w14:paraId="39B1316F" w14:textId="77777777" w:rsidR="00C30B44" w:rsidRPr="0068656E" w:rsidRDefault="00C30B44" w:rsidP="00ED4EE3">
      <w:pPr>
        <w:jc w:val="both"/>
        <w:rPr>
          <w:rFonts w:ascii="Times New Roman" w:hAnsi="Times New Roman" w:cs="Times New Roman"/>
          <w:b/>
          <w:lang w:val="en-US"/>
        </w:rPr>
      </w:pPr>
    </w:p>
    <w:p w14:paraId="5DC2451E" w14:textId="77777777" w:rsidR="0087277B" w:rsidRPr="0068656E" w:rsidRDefault="0087277B" w:rsidP="00ED4EE3">
      <w:pPr>
        <w:spacing w:line="480" w:lineRule="auto"/>
        <w:jc w:val="both"/>
        <w:rPr>
          <w:rFonts w:ascii="Times New Roman" w:hAnsi="Times New Roman" w:cs="Times New Roman"/>
          <w:b/>
          <w:lang w:val="en-US"/>
        </w:rPr>
      </w:pPr>
      <w:r w:rsidRPr="0068656E">
        <w:rPr>
          <w:rFonts w:ascii="Times New Roman" w:hAnsi="Times New Roman" w:cs="Times New Roman"/>
          <w:b/>
          <w:lang w:val="en-US"/>
        </w:rPr>
        <w:t>4.3 Quantification of the Aggregate III</w:t>
      </w:r>
    </w:p>
    <w:p w14:paraId="00E268EB" w14:textId="77777777" w:rsidR="00060A64" w:rsidRPr="0068656E" w:rsidRDefault="00060A64" w:rsidP="00ED4EE3">
      <w:pPr>
        <w:jc w:val="both"/>
        <w:rPr>
          <w:rFonts w:ascii="Times New Roman" w:hAnsi="Times New Roman" w:cs="Times New Roman"/>
          <w:lang w:val="en-US"/>
        </w:rPr>
      </w:pPr>
    </w:p>
    <w:p w14:paraId="08DFAAC2" w14:textId="77777777" w:rsidR="005B2E84" w:rsidRPr="0068656E" w:rsidRDefault="005B2E84"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The </w:t>
      </w:r>
      <w:r w:rsidR="00233DA7" w:rsidRPr="0068656E">
        <w:rPr>
          <w:rFonts w:ascii="Times New Roman" w:hAnsi="Times New Roman" w:cs="Times New Roman"/>
          <w:lang w:val="en-US"/>
        </w:rPr>
        <w:t xml:space="preserve">agricultural </w:t>
      </w:r>
      <w:r w:rsidRPr="0068656E">
        <w:rPr>
          <w:rFonts w:ascii="Times New Roman" w:hAnsi="Times New Roman" w:cs="Times New Roman"/>
          <w:lang w:val="en-US"/>
        </w:rPr>
        <w:t>sectors</w:t>
      </w:r>
      <w:r w:rsidR="00233DA7" w:rsidRPr="0068656E">
        <w:rPr>
          <w:rFonts w:ascii="Times New Roman" w:hAnsi="Times New Roman" w:cs="Times New Roman"/>
          <w:lang w:val="en-US"/>
        </w:rPr>
        <w:t xml:space="preserve"> of processing and industrialization, that is, the aggregation sectors of value to primary goods, are those that compound the Aggregate III of the sugar and alcohol agro industrial complex. However, it is worth highlighting the fact that there are some agro industries where transformation occur only on products originated from agro-livestock activities, while there are others that can aggregate values to inputs that are not originated only from the agro-livestock.</w:t>
      </w:r>
    </w:p>
    <w:p w14:paraId="07A68E7A" w14:textId="77777777" w:rsidR="00FB6FCB" w:rsidRPr="0068656E" w:rsidRDefault="00233DA7"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For example, the textile industry that uses products originated from agriculture (cotton) also employs synthetic thread </w:t>
      </w:r>
      <w:r w:rsidR="00061B68" w:rsidRPr="0068656E">
        <w:rPr>
          <w:rFonts w:ascii="Times New Roman" w:hAnsi="Times New Roman" w:cs="Times New Roman"/>
          <w:lang w:val="en-US"/>
        </w:rPr>
        <w:t>in its</w:t>
      </w:r>
      <w:r w:rsidRPr="0068656E">
        <w:rPr>
          <w:rFonts w:ascii="Times New Roman" w:hAnsi="Times New Roman" w:cs="Times New Roman"/>
          <w:lang w:val="en-US"/>
        </w:rPr>
        <w:t xml:space="preserve"> production. </w:t>
      </w:r>
      <w:r w:rsidR="00FB6FCB" w:rsidRPr="0068656E">
        <w:rPr>
          <w:rFonts w:ascii="Times New Roman" w:hAnsi="Times New Roman" w:cs="Times New Roman"/>
          <w:lang w:val="en-US"/>
        </w:rPr>
        <w:t>As Finamore and Montoya (2005) that,</w:t>
      </w:r>
      <w:r w:rsidR="00061B68" w:rsidRPr="0068656E">
        <w:rPr>
          <w:rFonts w:ascii="Times New Roman" w:hAnsi="Times New Roman" w:cs="Times New Roman"/>
          <w:lang w:val="en-US"/>
        </w:rPr>
        <w:t xml:space="preserve"> when dimensioning the dairy sector of Rio Grande do Sul, considered only agro industries directly related to those sector, this work also exclusively considers the agro-</w:t>
      </w:r>
      <w:r w:rsidR="00061B68" w:rsidRPr="0068656E">
        <w:rPr>
          <w:rFonts w:ascii="Times New Roman" w:hAnsi="Times New Roman" w:cs="Times New Roman"/>
          <w:lang w:val="en-US"/>
        </w:rPr>
        <w:lastRenderedPageBreak/>
        <w:t>industry of the sugar and alcohol sector, this is to say that it considers the sugar, drinking and alcohol making.</w:t>
      </w:r>
    </w:p>
    <w:p w14:paraId="1BB48D91" w14:textId="77777777" w:rsidR="00FB6FCB" w:rsidRDefault="00FB6FCB"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It is important to mention that, once the drinking sector is </w:t>
      </w:r>
      <w:r w:rsidR="00D06CC4" w:rsidRPr="0068656E">
        <w:rPr>
          <w:rFonts w:ascii="Times New Roman" w:hAnsi="Times New Roman" w:cs="Times New Roman"/>
          <w:lang w:val="en-US"/>
        </w:rPr>
        <w:t>formed</w:t>
      </w:r>
      <w:r w:rsidRPr="0068656E">
        <w:rPr>
          <w:rFonts w:ascii="Times New Roman" w:hAnsi="Times New Roman" w:cs="Times New Roman"/>
          <w:lang w:val="en-US"/>
        </w:rPr>
        <w:t xml:space="preserve"> by a variety of industries (wine making; malt making; beer and draft beer; soft </w:t>
      </w:r>
      <w:r w:rsidR="00D06CC4" w:rsidRPr="0068656E">
        <w:rPr>
          <w:rFonts w:ascii="Times New Roman" w:hAnsi="Times New Roman" w:cs="Times New Roman"/>
          <w:lang w:val="en-US"/>
        </w:rPr>
        <w:t xml:space="preserve">drinking </w:t>
      </w:r>
      <w:r w:rsidRPr="0068656E">
        <w:rPr>
          <w:rFonts w:ascii="Times New Roman" w:hAnsi="Times New Roman" w:cs="Times New Roman"/>
          <w:lang w:val="en-US"/>
        </w:rPr>
        <w:t>and soda making</w:t>
      </w:r>
      <w:r w:rsidR="00D06CC4" w:rsidRPr="0068656E">
        <w:rPr>
          <w:rFonts w:ascii="Times New Roman" w:hAnsi="Times New Roman" w:cs="Times New Roman"/>
          <w:lang w:val="en-US"/>
        </w:rPr>
        <w:t>,</w:t>
      </w:r>
      <w:r w:rsidRPr="0068656E">
        <w:rPr>
          <w:rFonts w:ascii="Times New Roman" w:hAnsi="Times New Roman" w:cs="Times New Roman"/>
          <w:lang w:val="en-US"/>
        </w:rPr>
        <w:t xml:space="preserve"> and bottling; and mineral water gasification), the </w:t>
      </w:r>
      <w:r w:rsidR="00D06CC4" w:rsidRPr="0068656E">
        <w:rPr>
          <w:rFonts w:ascii="Times New Roman" w:hAnsi="Times New Roman" w:cs="Times New Roman"/>
          <w:lang w:val="en-US"/>
        </w:rPr>
        <w:t>effective participation of the sugar and alcohol sector in this industry was calculated through Annual Industrial Research carried out by IBGE – PIA. The result fou</w:t>
      </w:r>
      <w:r w:rsidR="00C16E56">
        <w:rPr>
          <w:rFonts w:ascii="Times New Roman" w:hAnsi="Times New Roman" w:cs="Times New Roman"/>
          <w:lang w:val="en-US"/>
        </w:rPr>
        <w:t>nd was approximately equal to 2.</w:t>
      </w:r>
      <w:r w:rsidR="00D06CC4" w:rsidRPr="0068656E">
        <w:rPr>
          <w:rFonts w:ascii="Times New Roman" w:hAnsi="Times New Roman" w:cs="Times New Roman"/>
          <w:lang w:val="en-US"/>
        </w:rPr>
        <w:t>92% in the income of this industry. At last, as in the estimation of the Aggregate II, for the calculation of the Aggregate III excludes the parcels already counted in the upstream. In that way, again, to avoid double counting. Therefore,</w:t>
      </w:r>
    </w:p>
    <w:tbl>
      <w:tblPr>
        <w:tblStyle w:val="Tabelacomgrade"/>
        <w:tblW w:w="8557" w:type="dxa"/>
        <w:jc w:val="center"/>
        <w:tblLook w:val="04A0" w:firstRow="1" w:lastRow="0" w:firstColumn="1" w:lastColumn="0" w:noHBand="0" w:noVBand="1"/>
      </w:tblPr>
      <w:tblGrid>
        <w:gridCol w:w="7933"/>
        <w:gridCol w:w="624"/>
      </w:tblGrid>
      <w:tr w:rsidR="00E57D54" w14:paraId="65F23DF9" w14:textId="77777777" w:rsidTr="005B25D7">
        <w:trPr>
          <w:jc w:val="center"/>
        </w:trPr>
        <w:tc>
          <w:tcPr>
            <w:tcW w:w="7933" w:type="dxa"/>
            <w:vAlign w:val="center"/>
          </w:tcPr>
          <w:p w14:paraId="78A7A816" w14:textId="77777777" w:rsidR="00E57D54" w:rsidRDefault="003949D9" w:rsidP="00E57D54">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III</m:t>
                    </m:r>
                  </m:sub>
                </m:sSub>
                <m:r>
                  <w:rPr>
                    <w:rFonts w:ascii="Cambria Math" w:hAnsi="Cambria Math" w:cs="Times New Roman"/>
                    <w:lang w:val="en-US"/>
                  </w:rPr>
                  <m:t>=</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j</m:t>
                        </m:r>
                      </m:sub>
                    </m:sSub>
                  </m:e>
                </m:d>
                <m:d>
                  <m:dPr>
                    <m:begChr m:val="["/>
                    <m:endChr m:val="]"/>
                    <m:ctrlPr>
                      <w:rPr>
                        <w:rFonts w:ascii="Cambria Math" w:hAnsi="Cambria Math" w:cs="Times New Roman"/>
                        <w:i/>
                        <w:lang w:val="en-US"/>
                      </w:rPr>
                    </m:ctrlPr>
                  </m:dPr>
                  <m:e>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j</m:t>
                            </m:r>
                          </m:sub>
                        </m:sSub>
                      </m:e>
                    </m:d>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j1</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j</m:t>
                                </m:r>
                              </m:sub>
                            </m:sSub>
                          </m:den>
                        </m:f>
                      </m:e>
                    </m:d>
                  </m:e>
                </m:d>
                <m:r>
                  <w:rPr>
                    <w:rFonts w:ascii="Cambria Math" w:hAnsi="Cambria Math" w:cs="Times New Roman"/>
                    <w:lang w:val="en-US"/>
                  </w:rPr>
                  <m:t>;</m:t>
                </m:r>
              </m:oMath>
            </m:oMathPara>
          </w:p>
        </w:tc>
        <w:tc>
          <w:tcPr>
            <w:tcW w:w="624" w:type="dxa"/>
            <w:vAlign w:val="center"/>
          </w:tcPr>
          <w:p w14:paraId="7D66A5C4" w14:textId="77777777" w:rsidR="00E57D54" w:rsidRDefault="00E57D54" w:rsidP="00E57D54">
            <w:pPr>
              <w:jc w:val="center"/>
              <w:rPr>
                <w:rFonts w:ascii="Times New Roman" w:hAnsi="Times New Roman" w:cs="Times New Roman"/>
                <w:lang w:val="en-US"/>
              </w:rPr>
            </w:pPr>
            <w:r>
              <w:rPr>
                <w:rFonts w:ascii="Times New Roman" w:hAnsi="Times New Roman" w:cs="Times New Roman"/>
                <w:lang w:val="en-US"/>
              </w:rPr>
              <w:t>(8)</w:t>
            </w:r>
          </w:p>
        </w:tc>
      </w:tr>
    </w:tbl>
    <w:p w14:paraId="19405758" w14:textId="77777777" w:rsidR="00060A64" w:rsidRPr="0068656E" w:rsidRDefault="00060A64" w:rsidP="00ED4EE3">
      <w:pPr>
        <w:jc w:val="both"/>
        <w:rPr>
          <w:rFonts w:ascii="Times New Roman" w:hAnsi="Times New Roman" w:cs="Times New Roman"/>
        </w:rPr>
      </w:pPr>
    </w:p>
    <w:p w14:paraId="5463954C" w14:textId="77777777" w:rsidR="00060A64" w:rsidRPr="0068656E" w:rsidRDefault="00D06CC4"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where</w:t>
      </w:r>
      <w:r w:rsidR="00E57D54">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j</m:t>
            </m:r>
          </m:sub>
        </m:sSub>
      </m:oMath>
      <w:r w:rsidR="00E57D54">
        <w:rPr>
          <w:rFonts w:ascii="Times New Roman" w:hAnsi="Times New Roman" w:cs="Times New Roman"/>
          <w:lang w:val="en-US"/>
        </w:rPr>
        <w:t xml:space="preserve"> </w:t>
      </w:r>
      <w:r w:rsidRPr="0068656E">
        <w:rPr>
          <w:rFonts w:ascii="Times New Roman" w:hAnsi="Times New Roman" w:cs="Times New Roman"/>
          <w:lang w:val="en-US"/>
        </w:rPr>
        <w:t>rep</w:t>
      </w:r>
      <w:r w:rsidR="00AE402E" w:rsidRPr="0068656E">
        <w:rPr>
          <w:rFonts w:ascii="Times New Roman" w:hAnsi="Times New Roman" w:cs="Times New Roman"/>
          <w:lang w:val="en-US"/>
        </w:rPr>
        <w:t>re</w:t>
      </w:r>
      <w:r w:rsidRPr="0068656E">
        <w:rPr>
          <w:rFonts w:ascii="Times New Roman" w:hAnsi="Times New Roman" w:cs="Times New Roman"/>
          <w:lang w:val="en-US"/>
        </w:rPr>
        <w:t>sents the value added at market p</w:t>
      </w:r>
      <w:r w:rsidR="00AE402E" w:rsidRPr="0068656E">
        <w:rPr>
          <w:rFonts w:ascii="Times New Roman" w:hAnsi="Times New Roman" w:cs="Times New Roman"/>
          <w:lang w:val="en-US"/>
        </w:rPr>
        <w:t>rice in the agro industrial sector</w:t>
      </w:r>
      <w:r w:rsidR="00E57D54">
        <w:rPr>
          <w:rFonts w:ascii="Times New Roman" w:hAnsi="Times New Roman" w:cs="Times New Roman"/>
          <w:lang w:val="en-US"/>
        </w:rPr>
        <w:t xml:space="preserve"> </w:t>
      </w:r>
      <m:oMath>
        <m:r>
          <w:rPr>
            <w:rFonts w:ascii="Cambria Math" w:hAnsi="Cambria Math" w:cs="Times New Roman"/>
            <w:lang w:val="en-US"/>
          </w:rPr>
          <m:t>j</m:t>
        </m:r>
      </m:oMath>
      <w:r w:rsidR="00AE402E" w:rsidRPr="0068656E">
        <w:rPr>
          <w:rFonts w:ascii="Times New Roman" w:hAnsi="Times New Roman" w:cs="Times New Roman"/>
          <w:lang w:val="en-US"/>
        </w:rPr>
        <w:t>;</w:t>
      </w:r>
      <w:r w:rsidR="00E57D54">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j</m:t>
            </m:r>
          </m:sub>
        </m:sSub>
      </m:oMath>
      <w:r w:rsidR="00E57D54">
        <w:rPr>
          <w:rFonts w:ascii="Times New Roman" w:hAnsi="Times New Roman" w:cs="Times New Roman"/>
          <w:lang w:val="en-US"/>
        </w:rPr>
        <w:t xml:space="preserve"> </w:t>
      </w:r>
      <w:r w:rsidR="00AE402E" w:rsidRPr="0068656E">
        <w:rPr>
          <w:rFonts w:ascii="Times New Roman" w:hAnsi="Times New Roman" w:cs="Times New Roman"/>
          <w:lang w:val="en-US"/>
        </w:rPr>
        <w:t xml:space="preserve">corresponds to </w:t>
      </w:r>
      <w:r w:rsidR="00C4515A" w:rsidRPr="0068656E">
        <w:rPr>
          <w:rFonts w:ascii="Times New Roman" w:hAnsi="Times New Roman" w:cs="Times New Roman"/>
          <w:lang w:val="en-US"/>
        </w:rPr>
        <w:t xml:space="preserve">net </w:t>
      </w:r>
      <w:r w:rsidR="00AE402E" w:rsidRPr="0068656E">
        <w:rPr>
          <w:rFonts w:ascii="Times New Roman" w:hAnsi="Times New Roman" w:cs="Times New Roman"/>
          <w:lang w:val="en-US"/>
        </w:rPr>
        <w:t>indirect taxes on the agro industrial production (and paid by it) and</w:t>
      </w:r>
      <w:r w:rsidR="00E57D54">
        <w:rPr>
          <w:rFonts w:ascii="Times New Roman" w:hAnsi="Times New Roman" w:cs="Times New Roman"/>
          <w:lang w:val="en-US"/>
        </w:rPr>
        <w:t xml:space="preserve">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j</m:t>
                </m:r>
              </m:sub>
            </m:sSub>
          </m:e>
        </m:d>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j1</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j</m:t>
                    </m:r>
                  </m:sub>
                </m:sSub>
              </m:den>
            </m:f>
          </m:e>
        </m:d>
      </m:oMath>
      <w:r w:rsidR="00E57D54">
        <w:rPr>
          <w:rFonts w:ascii="Times New Roman" w:hAnsi="Times New Roman" w:cs="Times New Roman"/>
          <w:lang w:val="en-US"/>
        </w:rPr>
        <w:t xml:space="preserve"> </w:t>
      </w:r>
      <w:r w:rsidR="00AE402E" w:rsidRPr="0068656E">
        <w:rPr>
          <w:rFonts w:ascii="Times New Roman" w:hAnsi="Times New Roman" w:cs="Times New Roman"/>
          <w:lang w:val="en-US"/>
        </w:rPr>
        <w:t>corresponds to the deduction of the parcel already counted to the upstream.</w:t>
      </w:r>
    </w:p>
    <w:p w14:paraId="36196B0A" w14:textId="77777777" w:rsidR="005E7A97" w:rsidRPr="0068656E" w:rsidRDefault="005E7A97" w:rsidP="00ED4EE3">
      <w:pPr>
        <w:spacing w:line="480" w:lineRule="auto"/>
        <w:jc w:val="both"/>
        <w:rPr>
          <w:rFonts w:ascii="Times New Roman" w:hAnsi="Times New Roman" w:cs="Times New Roman"/>
          <w:b/>
          <w:lang w:val="en-US"/>
        </w:rPr>
      </w:pPr>
      <w:r w:rsidRPr="0068656E">
        <w:rPr>
          <w:rFonts w:ascii="Times New Roman" w:hAnsi="Times New Roman" w:cs="Times New Roman"/>
          <w:b/>
          <w:lang w:val="en-US"/>
        </w:rPr>
        <w:t>4.4 Quantification of the Aggregate IV</w:t>
      </w:r>
    </w:p>
    <w:p w14:paraId="082C2418" w14:textId="77777777" w:rsidR="00AE402E" w:rsidRPr="0068656E" w:rsidRDefault="00AE402E"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The Aggregate IV characterizes as being the agribusiness sector responsible for the distribution of the agro-livestock production as well as of the agro industry, which means that the measurement is composed by relative sectors of transport and trade, and service sectors. In this quantification was adopted the methodology used in Cruz</w:t>
      </w:r>
      <w:r w:rsidR="000C33CE">
        <w:rPr>
          <w:rFonts w:ascii="Times New Roman" w:hAnsi="Times New Roman" w:cs="Times New Roman"/>
          <w:lang w:val="en-US"/>
        </w:rPr>
        <w:t xml:space="preserve"> et al. </w:t>
      </w:r>
      <w:r w:rsidRPr="0068656E">
        <w:rPr>
          <w:rFonts w:ascii="Times New Roman" w:hAnsi="Times New Roman" w:cs="Times New Roman"/>
          <w:lang w:val="en-US"/>
        </w:rPr>
        <w:t>2009, p. 820.</w:t>
      </w:r>
    </w:p>
    <w:p w14:paraId="20716ECF" w14:textId="77777777" w:rsidR="00AE402E" w:rsidRDefault="00AE402E"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In that way, every sector of the economy that also uses those sectors to distribute their products has to determine the representative fraction of the sugar and alcohol agribusiness, as well as to calculate the marketing margin</w:t>
      </w:r>
      <w:r w:rsidR="00C1750B">
        <w:rPr>
          <w:rFonts w:ascii="Times New Roman" w:hAnsi="Times New Roman" w:cs="Times New Roman"/>
          <w:lang w:val="en-US"/>
        </w:rPr>
        <w:t xml:space="preserve"> </w:t>
      </w:r>
      <m:oMath>
        <m:d>
          <m:dPr>
            <m:ctrlPr>
              <w:rPr>
                <w:rFonts w:ascii="Cambria Math" w:hAnsi="Cambria Math" w:cs="Times New Roman"/>
                <w:i/>
                <w:lang w:val="en-US"/>
              </w:rPr>
            </m:ctrlPr>
          </m:dPr>
          <m:e>
            <m:r>
              <w:rPr>
                <w:rFonts w:ascii="Cambria Math" w:hAnsi="Cambria Math" w:cs="Times New Roman"/>
                <w:lang w:val="en-US"/>
              </w:rPr>
              <m:t>MM</m:t>
            </m:r>
          </m:e>
        </m:d>
      </m:oMath>
      <w:r w:rsidR="00C1750B">
        <w:rPr>
          <w:rFonts w:ascii="Times New Roman" w:hAnsi="Times New Roman" w:cs="Times New Roman"/>
          <w:lang w:val="en-US"/>
        </w:rPr>
        <w:t xml:space="preserve"> </w:t>
      </w:r>
      <w:r w:rsidRPr="0068656E">
        <w:rPr>
          <w:rFonts w:ascii="Times New Roman" w:hAnsi="Times New Roman" w:cs="Times New Roman"/>
          <w:lang w:val="en-US"/>
        </w:rPr>
        <w:t xml:space="preserve">of agro-livestock </w:t>
      </w:r>
      <w:r w:rsidRPr="0068656E">
        <w:rPr>
          <w:rFonts w:ascii="Times New Roman" w:hAnsi="Times New Roman" w:cs="Times New Roman"/>
          <w:lang w:val="en-US"/>
        </w:rPr>
        <w:lastRenderedPageBreak/>
        <w:t>business and agroindustrial of the sugar and alcohol sector. In other words, the marketing margins are proxies to the portion of the value of the sector of transport and trade and service sectors that should be associated to agribusiness in study. The expression for this calculation is given by:</w:t>
      </w:r>
    </w:p>
    <w:tbl>
      <w:tblPr>
        <w:tblStyle w:val="Tabelacomgrade"/>
        <w:tblW w:w="8557" w:type="dxa"/>
        <w:jc w:val="center"/>
        <w:tblLook w:val="04A0" w:firstRow="1" w:lastRow="0" w:firstColumn="1" w:lastColumn="0" w:noHBand="0" w:noVBand="1"/>
      </w:tblPr>
      <w:tblGrid>
        <w:gridCol w:w="7933"/>
        <w:gridCol w:w="624"/>
      </w:tblGrid>
      <w:tr w:rsidR="00E6394E" w14:paraId="4D857B0E" w14:textId="77777777" w:rsidTr="005B25D7">
        <w:trPr>
          <w:jc w:val="center"/>
        </w:trPr>
        <w:tc>
          <w:tcPr>
            <w:tcW w:w="7933" w:type="dxa"/>
            <w:vAlign w:val="center"/>
          </w:tcPr>
          <w:p w14:paraId="165C027A" w14:textId="77777777" w:rsidR="00E6394E" w:rsidRDefault="00E6394E" w:rsidP="00175B91">
            <w:pPr>
              <w:jc w:val="center"/>
              <w:rPr>
                <w:rFonts w:ascii="Times New Roman" w:hAnsi="Times New Roman" w:cs="Times New Roman"/>
                <w:lang w:val="en-US"/>
              </w:rPr>
            </w:pPr>
            <m:oMathPara>
              <m:oMath>
                <m:r>
                  <w:rPr>
                    <w:rFonts w:ascii="Cambria Math" w:hAnsi="Cambria Math" w:cs="Times New Roman"/>
                    <w:lang w:val="en-US"/>
                  </w:rPr>
                  <m:t>MM=</m:t>
                </m:r>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t</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t</m:t>
                    </m:r>
                  </m:sub>
                </m:sSub>
                <m:d>
                  <m:dPr>
                    <m:begChr m:val="["/>
                    <m:endChr m:val="]"/>
                    <m:ctrlPr>
                      <w:rPr>
                        <w:rFonts w:ascii="Cambria Math" w:hAnsi="Cambria Math" w:cs="Times New Roman"/>
                        <w:i/>
                        <w:lang w:val="en-US"/>
                      </w:rPr>
                    </m:ctrlPr>
                  </m:dPr>
                  <m:e>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t</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t</m:t>
                            </m:r>
                          </m:sub>
                        </m:sSub>
                      </m:e>
                    </m:d>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t1</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t</m:t>
                                </m:r>
                              </m:sub>
                            </m:sSub>
                          </m:den>
                        </m:f>
                      </m:e>
                    </m:d>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s</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s</m:t>
                    </m:r>
                  </m:sub>
                </m:sSub>
                <m:d>
                  <m:dPr>
                    <m:begChr m:val="["/>
                    <m:endChr m:val="]"/>
                    <m:ctrlPr>
                      <w:rPr>
                        <w:rFonts w:ascii="Cambria Math" w:hAnsi="Cambria Math" w:cs="Times New Roman"/>
                        <w:i/>
                        <w:lang w:val="en-US"/>
                      </w:rPr>
                    </m:ctrlPr>
                  </m:dPr>
                  <m:e>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s</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s</m:t>
                            </m:r>
                          </m:sub>
                        </m:sSub>
                      </m:e>
                    </m:d>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s1</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s</m:t>
                                </m:r>
                              </m:sub>
                            </m:sSub>
                          </m:den>
                        </m:f>
                      </m:e>
                    </m:d>
                  </m:e>
                </m:d>
                <m:r>
                  <w:rPr>
                    <w:rFonts w:ascii="Cambria Math" w:hAnsi="Cambria Math" w:cs="Times New Roman"/>
                    <w:lang w:val="en-US"/>
                  </w:rPr>
                  <m:t>;</m:t>
                </m:r>
              </m:oMath>
            </m:oMathPara>
          </w:p>
        </w:tc>
        <w:tc>
          <w:tcPr>
            <w:tcW w:w="624" w:type="dxa"/>
            <w:vAlign w:val="center"/>
          </w:tcPr>
          <w:p w14:paraId="7DD41DBB" w14:textId="77777777" w:rsidR="00E6394E" w:rsidRDefault="00175B91" w:rsidP="00175B91">
            <w:pPr>
              <w:jc w:val="center"/>
              <w:rPr>
                <w:rFonts w:ascii="Times New Roman" w:hAnsi="Times New Roman" w:cs="Times New Roman"/>
                <w:lang w:val="en-US"/>
              </w:rPr>
            </w:pPr>
            <w:r>
              <w:rPr>
                <w:rFonts w:ascii="Times New Roman" w:hAnsi="Times New Roman" w:cs="Times New Roman"/>
                <w:lang w:val="en-US"/>
              </w:rPr>
              <w:t>(9)</w:t>
            </w:r>
          </w:p>
        </w:tc>
      </w:tr>
    </w:tbl>
    <w:p w14:paraId="14CEA620" w14:textId="77777777" w:rsidR="00AE402E" w:rsidRPr="0068656E" w:rsidRDefault="00AE402E" w:rsidP="00ED4EE3">
      <w:pPr>
        <w:ind w:firstLine="720"/>
        <w:jc w:val="both"/>
        <w:rPr>
          <w:rFonts w:ascii="Times New Roman" w:hAnsi="Times New Roman" w:cs="Times New Roman"/>
        </w:rPr>
      </w:pPr>
    </w:p>
    <w:p w14:paraId="56C7CB87" w14:textId="77777777" w:rsidR="00AE402E" w:rsidRPr="0068656E" w:rsidRDefault="00AE402E"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where</w:t>
      </w:r>
      <w:r w:rsidR="004735D4">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t</m:t>
            </m:r>
          </m:sub>
        </m:sSub>
      </m:oMath>
      <w:r w:rsidR="004735D4">
        <w:rPr>
          <w:rFonts w:ascii="Times New Roman" w:hAnsi="Times New Roman" w:cs="Times New Roman"/>
          <w:lang w:val="en-US"/>
        </w:rPr>
        <w:t xml:space="preserve"> </w:t>
      </w:r>
      <w:r w:rsidRPr="0068656E">
        <w:rPr>
          <w:rFonts w:ascii="Times New Roman" w:hAnsi="Times New Roman" w:cs="Times New Roman"/>
          <w:lang w:val="en-US"/>
        </w:rPr>
        <w:t xml:space="preserve">represents the value added to the transport and trade sector; </w:t>
      </w:r>
      <m:oMath>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s</m:t>
            </m:r>
          </m:sub>
        </m:sSub>
      </m:oMath>
      <w:r w:rsidR="004735D4">
        <w:rPr>
          <w:rFonts w:ascii="Times New Roman" w:hAnsi="Times New Roman" w:cs="Times New Roman"/>
          <w:lang w:val="en-US"/>
        </w:rPr>
        <w:t xml:space="preserve"> </w:t>
      </w:r>
      <w:r w:rsidRPr="0068656E">
        <w:rPr>
          <w:rFonts w:ascii="Times New Roman" w:hAnsi="Times New Roman" w:cs="Times New Roman"/>
          <w:lang w:val="en-US"/>
        </w:rPr>
        <w:t xml:space="preserve">represents the value added to service sectors (both at </w:t>
      </w:r>
      <w:r w:rsidR="00C4515A" w:rsidRPr="0068656E">
        <w:rPr>
          <w:rFonts w:ascii="Times New Roman" w:hAnsi="Times New Roman" w:cs="Times New Roman"/>
          <w:lang w:val="en-US"/>
        </w:rPr>
        <w:t>market prices);</w:t>
      </w:r>
      <w:r w:rsidR="004735D4">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t</m:t>
            </m:r>
          </m:sub>
        </m:sSub>
      </m:oMath>
      <w:r w:rsidR="004735D4">
        <w:rPr>
          <w:rFonts w:ascii="Times New Roman" w:hAnsi="Times New Roman" w:cs="Times New Roman"/>
          <w:lang w:val="en-US"/>
        </w:rPr>
        <w:t xml:space="preserve"> </w:t>
      </w:r>
      <w:r w:rsidR="00C4515A" w:rsidRPr="0068656E">
        <w:rPr>
          <w:rFonts w:ascii="Times New Roman" w:hAnsi="Times New Roman" w:cs="Times New Roman"/>
          <w:lang w:val="en-US"/>
        </w:rPr>
        <w:t xml:space="preserve">and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s</m:t>
            </m:r>
          </m:sub>
        </m:sSub>
      </m:oMath>
      <w:r w:rsidR="004735D4">
        <w:rPr>
          <w:rFonts w:ascii="Times New Roman" w:hAnsi="Times New Roman" w:cs="Times New Roman"/>
          <w:lang w:val="en-US"/>
        </w:rPr>
        <w:t xml:space="preserve"> </w:t>
      </w:r>
      <w:r w:rsidR="00C4515A" w:rsidRPr="0068656E">
        <w:rPr>
          <w:rFonts w:ascii="Times New Roman" w:hAnsi="Times New Roman" w:cs="Times New Roman"/>
          <w:lang w:val="en-US"/>
        </w:rPr>
        <w:t>are the net indirect taxes on the production in the sector of transport and trade and also service one, respectively;</w:t>
      </w:r>
      <w:r w:rsidR="004735D4">
        <w:rPr>
          <w:rFonts w:ascii="Times New Roman" w:hAnsi="Times New Roman" w:cs="Times New Roman"/>
          <w:lang w:val="en-US"/>
        </w:rPr>
        <w:t xml:space="preserve">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t</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t</m:t>
                </m:r>
              </m:sub>
            </m:sSub>
          </m:e>
        </m:d>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ti</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t</m:t>
                    </m:r>
                  </m:sub>
                </m:sSub>
              </m:den>
            </m:f>
          </m:e>
        </m:d>
      </m:oMath>
      <w:r w:rsidR="004735D4">
        <w:rPr>
          <w:rFonts w:ascii="Times New Roman" w:hAnsi="Times New Roman" w:cs="Times New Roman"/>
          <w:lang w:val="en-US"/>
        </w:rPr>
        <w:t xml:space="preserve"> </w:t>
      </w:r>
      <w:r w:rsidR="00C4515A" w:rsidRPr="0068656E">
        <w:rPr>
          <w:rFonts w:ascii="Times New Roman" w:hAnsi="Times New Roman" w:cs="Times New Roman"/>
          <w:lang w:val="en-US"/>
        </w:rPr>
        <w:t>corresponds to the deduction of the parcel to the added value at cost factors in the transport and trade sector already counted in the upstream, and</w:t>
      </w:r>
      <w:r w:rsidR="00D44DCE">
        <w:rPr>
          <w:rFonts w:ascii="Times New Roman" w:hAnsi="Times New Roman" w:cs="Times New Roman"/>
          <w:lang w:val="en-US"/>
        </w:rPr>
        <w:t xml:space="preserve">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VA</m:t>
                </m:r>
              </m:e>
              <m:sub>
                <m:r>
                  <w:rPr>
                    <w:rFonts w:ascii="Cambria Math" w:hAnsi="Cambria Math" w:cs="Times New Roman"/>
                    <w:lang w:val="en-US"/>
                  </w:rPr>
                  <m:t>s</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s</m:t>
                </m:r>
              </m:sub>
            </m:sSub>
          </m:e>
        </m:d>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si</m:t>
                    </m:r>
                  </m:sub>
                </m:sSub>
              </m:num>
              <m:den>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s</m:t>
                    </m:r>
                  </m:sub>
                </m:sSub>
              </m:den>
            </m:f>
          </m:e>
        </m:d>
      </m:oMath>
      <w:r w:rsidR="00D44DCE">
        <w:rPr>
          <w:rFonts w:ascii="Times New Roman" w:hAnsi="Times New Roman" w:cs="Times New Roman"/>
          <w:lang w:val="en-US"/>
        </w:rPr>
        <w:t xml:space="preserve"> </w:t>
      </w:r>
      <w:r w:rsidR="00C4515A" w:rsidRPr="0068656E">
        <w:rPr>
          <w:rFonts w:ascii="Times New Roman" w:hAnsi="Times New Roman" w:cs="Times New Roman"/>
          <w:lang w:val="en-US"/>
        </w:rPr>
        <w:t>represents the deduction of the parcel to the added value to the cost factors of services already counted in the upstream.</w:t>
      </w:r>
    </w:p>
    <w:p w14:paraId="1E93A41F" w14:textId="77777777" w:rsidR="002F792A" w:rsidRDefault="00C4515A"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However, before calculating the value of the Aggregate IV, it also has to obtain the domestic product</w:t>
      </w:r>
      <w:r w:rsidR="00F17AD4">
        <w:rPr>
          <w:rFonts w:ascii="Times New Roman" w:hAnsi="Times New Roman" w:cs="Times New Roman"/>
          <w:lang w:val="en-US"/>
        </w:rPr>
        <w:t xml:space="preserve"> </w:t>
      </w:r>
      <m:oMath>
        <m:d>
          <m:dPr>
            <m:ctrlPr>
              <w:rPr>
                <w:rFonts w:ascii="Cambria Math" w:hAnsi="Cambria Math" w:cs="Times New Roman"/>
                <w:i/>
                <w:lang w:val="en-US"/>
              </w:rPr>
            </m:ctrlPr>
          </m:dPr>
          <m:e>
            <m:r>
              <w:rPr>
                <w:rFonts w:ascii="Cambria Math" w:hAnsi="Cambria Math" w:cs="Times New Roman"/>
                <w:lang w:val="en-US"/>
              </w:rPr>
              <m:t>DP</m:t>
            </m:r>
          </m:e>
        </m:d>
      </m:oMath>
      <w:r w:rsidR="00F17AD4">
        <w:rPr>
          <w:rFonts w:ascii="Times New Roman" w:hAnsi="Times New Roman" w:cs="Times New Roman"/>
          <w:lang w:val="en-US"/>
        </w:rPr>
        <w:t xml:space="preserve"> </w:t>
      </w:r>
      <w:r w:rsidRPr="0068656E">
        <w:rPr>
          <w:rFonts w:ascii="Times New Roman" w:hAnsi="Times New Roman" w:cs="Times New Roman"/>
          <w:lang w:val="en-US"/>
        </w:rPr>
        <w:t>to regions in analysis which expression is given by</w:t>
      </w:r>
      <w:r w:rsidR="00BE5894">
        <w:rPr>
          <w:rFonts w:ascii="Times New Roman" w:hAnsi="Times New Roman" w:cs="Times New Roman"/>
          <w:lang w:val="en-US"/>
        </w:rPr>
        <w:t xml:space="preserve"> </w:t>
      </w:r>
      <m:oMath>
        <m:r>
          <w:rPr>
            <w:rFonts w:ascii="Cambria Math" w:hAnsi="Cambria Math" w:cs="Times New Roman"/>
            <w:lang w:val="en-US"/>
          </w:rPr>
          <m:t>DP=GFDP-NIT-IRW</m:t>
        </m:r>
      </m:oMath>
      <w:r w:rsidR="00060A64" w:rsidRPr="0068656E">
        <w:rPr>
          <w:rFonts w:ascii="Times New Roman" w:hAnsi="Times New Roman" w:cs="Times New Roman"/>
          <w:lang w:val="en-US"/>
        </w:rPr>
        <w:t xml:space="preserve">. </w:t>
      </w:r>
      <w:r w:rsidRPr="0068656E">
        <w:rPr>
          <w:rFonts w:ascii="Times New Roman" w:hAnsi="Times New Roman" w:cs="Times New Roman"/>
          <w:lang w:val="en-US"/>
        </w:rPr>
        <w:t xml:space="preserve">Where PI is the domestic product; </w:t>
      </w:r>
      <w:r w:rsidR="006D1F5A">
        <w:rPr>
          <w:rFonts w:ascii="Times New Roman" w:hAnsi="Times New Roman" w:cs="Times New Roman"/>
          <w:lang w:val="en-US"/>
        </w:rPr>
        <w:t>GF</w:t>
      </w:r>
      <w:r w:rsidRPr="00AB15EC">
        <w:rPr>
          <w:rFonts w:ascii="Times New Roman" w:hAnsi="Times New Roman" w:cs="Times New Roman"/>
          <w:lang w:val="en-US"/>
        </w:rPr>
        <w:t>DP</w:t>
      </w:r>
      <w:r w:rsidR="00AB15EC">
        <w:rPr>
          <w:rStyle w:val="Refdenotaderodap"/>
          <w:rFonts w:ascii="Times New Roman" w:hAnsi="Times New Roman" w:cs="Times New Roman"/>
          <w:lang w:val="en-US"/>
        </w:rPr>
        <w:footnoteReference w:id="8"/>
      </w:r>
      <w:r w:rsidRPr="0068656E">
        <w:rPr>
          <w:rFonts w:ascii="Times New Roman" w:hAnsi="Times New Roman" w:cs="Times New Roman"/>
          <w:lang w:val="en-US"/>
        </w:rPr>
        <w:t xml:space="preserve"> represents the global and final demand for national and imported products; </w:t>
      </w:r>
      <w:r w:rsidR="00FC2FDD">
        <w:rPr>
          <w:rFonts w:ascii="Times New Roman" w:hAnsi="Times New Roman" w:cs="Times New Roman"/>
          <w:lang w:val="en-US"/>
        </w:rPr>
        <w:t>N</w:t>
      </w:r>
      <w:r w:rsidRPr="0068656E">
        <w:rPr>
          <w:rFonts w:ascii="Times New Roman" w:hAnsi="Times New Roman" w:cs="Times New Roman"/>
          <w:lang w:val="en-US"/>
        </w:rPr>
        <w:t>I</w:t>
      </w:r>
      <w:r w:rsidR="00FC2FDD">
        <w:rPr>
          <w:rFonts w:ascii="Times New Roman" w:hAnsi="Times New Roman" w:cs="Times New Roman"/>
          <w:lang w:val="en-US"/>
        </w:rPr>
        <w:t>T</w:t>
      </w:r>
      <w:r w:rsidRPr="0068656E">
        <w:rPr>
          <w:rFonts w:ascii="Times New Roman" w:hAnsi="Times New Roman" w:cs="Times New Roman"/>
          <w:lang w:val="en-US"/>
        </w:rPr>
        <w:t xml:space="preserve"> corresponds to the net indirect taxes related to the final demand, and IR</w:t>
      </w:r>
      <w:r w:rsidR="00A35C14">
        <w:rPr>
          <w:rFonts w:ascii="Times New Roman" w:hAnsi="Times New Roman" w:cs="Times New Roman"/>
          <w:lang w:val="en-US"/>
        </w:rPr>
        <w:t>W</w:t>
      </w:r>
      <w:r w:rsidRPr="0068656E">
        <w:rPr>
          <w:rFonts w:ascii="Times New Roman" w:hAnsi="Times New Roman" w:cs="Times New Roman"/>
          <w:lang w:val="en-US"/>
        </w:rPr>
        <w:t xml:space="preserve"> represents the importations of the rest of the world and the country. According to this, the expression for dimensioning the Aggregate IV is given above</w:t>
      </w:r>
      <w:r w:rsidR="002F792A">
        <w:rPr>
          <w:rFonts w:ascii="Times New Roman" w:hAnsi="Times New Roman" w:cs="Times New Roman"/>
          <w:lang w:val="en-US"/>
        </w:rPr>
        <w:t>:</w:t>
      </w:r>
    </w:p>
    <w:tbl>
      <w:tblPr>
        <w:tblStyle w:val="Tabelacomgrade"/>
        <w:tblW w:w="8557" w:type="dxa"/>
        <w:jc w:val="center"/>
        <w:tblLook w:val="04A0" w:firstRow="1" w:lastRow="0" w:firstColumn="1" w:lastColumn="0" w:noHBand="0" w:noVBand="1"/>
      </w:tblPr>
      <w:tblGrid>
        <w:gridCol w:w="7933"/>
        <w:gridCol w:w="624"/>
      </w:tblGrid>
      <w:tr w:rsidR="00C434B3" w14:paraId="169611C0" w14:textId="77777777" w:rsidTr="005B25D7">
        <w:trPr>
          <w:jc w:val="center"/>
        </w:trPr>
        <w:tc>
          <w:tcPr>
            <w:tcW w:w="7933" w:type="dxa"/>
            <w:vAlign w:val="center"/>
          </w:tcPr>
          <w:p w14:paraId="35199147" w14:textId="77777777" w:rsidR="00C434B3" w:rsidRDefault="003949D9" w:rsidP="00C434B3">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IV</m:t>
                    </m:r>
                  </m:sub>
                </m:sSub>
                <m:r>
                  <w:rPr>
                    <w:rFonts w:ascii="Cambria Math" w:hAnsi="Cambria Math" w:cs="Times New Roman"/>
                    <w:lang w:val="en-US"/>
                  </w:rPr>
                  <m:t>=</m:t>
                </m:r>
                <m:d>
                  <m:dPr>
                    <m:ctrlPr>
                      <w:rPr>
                        <w:rFonts w:ascii="Cambria Math" w:hAnsi="Cambria Math" w:cs="Times New Roman"/>
                        <w:i/>
                        <w:lang w:val="en-US"/>
                      </w:rPr>
                    </m:ctrlPr>
                  </m:dPr>
                  <m:e>
                    <m:f>
                      <m:fPr>
                        <m:ctrlPr>
                          <w:rPr>
                            <w:rFonts w:ascii="Cambria Math" w:hAnsi="Cambria Math" w:cs="Times New Roman"/>
                            <w:i/>
                            <w:lang w:val="en-US"/>
                          </w:rPr>
                        </m:ctrlPr>
                      </m:fPr>
                      <m:num>
                        <m:sSub>
                          <m:sSubPr>
                            <m:ctrlPr>
                              <w:rPr>
                                <w:rFonts w:ascii="Cambria Math" w:hAnsi="Cambria Math" w:cs="Times New Roman"/>
                                <w:i/>
                                <w:lang w:val="en-US"/>
                              </w:rPr>
                            </m:ctrlPr>
                          </m:sSubPr>
                          <m:e>
                            <m:r>
                              <m:rPr>
                                <m:sty m:val="p"/>
                              </m:rPr>
                              <w:rPr>
                                <w:rFonts w:ascii="Cambria Math" w:hAnsi="Cambria Math" w:cs="Times New Roman"/>
                                <w:lang w:val="en-US"/>
                              </w:rPr>
                              <m:t>Φ</m:t>
                            </m:r>
                          </m:e>
                          <m:sub>
                            <m:r>
                              <w:rPr>
                                <w:rFonts w:ascii="Cambria Math" w:hAnsi="Cambria Math" w:cs="Times New Roman"/>
                                <w:lang w:val="en-US"/>
                              </w:rPr>
                              <m:t>i</m:t>
                            </m:r>
                          </m:sub>
                        </m:sSub>
                        <m:r>
                          <w:rPr>
                            <w:rFonts w:ascii="Cambria Math" w:hAnsi="Cambria Math" w:cs="Times New Roman"/>
                            <w:lang w:val="en-US"/>
                          </w:rPr>
                          <m:t>+</m:t>
                        </m:r>
                        <m:nary>
                          <m:naryPr>
                            <m:chr m:val="∑"/>
                            <m:limLoc m:val="subSup"/>
                            <m:ctrlPr>
                              <w:rPr>
                                <w:rFonts w:ascii="Cambria Math" w:hAnsi="Cambria Math" w:cs="Times New Roman"/>
                                <w:i/>
                                <w:lang w:val="en-US"/>
                              </w:rPr>
                            </m:ctrlPr>
                          </m:naryPr>
                          <m:sub>
                            <m:r>
                              <w:rPr>
                                <w:rFonts w:ascii="Cambria Math" w:hAnsi="Cambria Math" w:cs="Times New Roman"/>
                                <w:lang w:val="en-US"/>
                              </w:rPr>
                              <m:t>n=1</m:t>
                            </m:r>
                          </m:sub>
                          <m:sup>
                            <m:r>
                              <w:rPr>
                                <w:rFonts w:ascii="Cambria Math" w:hAnsi="Cambria Math" w:cs="Times New Roman"/>
                                <w:lang w:val="en-US"/>
                              </w:rPr>
                              <m:t>3</m:t>
                            </m:r>
                          </m:sup>
                          <m:e>
                            <m:sSub>
                              <m:sSubPr>
                                <m:ctrlPr>
                                  <w:rPr>
                                    <w:rFonts w:ascii="Cambria Math" w:hAnsi="Cambria Math" w:cs="Times New Roman"/>
                                    <w:lang w:val="en-US"/>
                                  </w:rPr>
                                </m:ctrlPr>
                              </m:sSubPr>
                              <m:e>
                                <m:r>
                                  <m:rPr>
                                    <m:sty m:val="p"/>
                                  </m:rPr>
                                  <w:rPr>
                                    <w:rFonts w:ascii="Cambria Math" w:hAnsi="Cambria Math" w:cs="Times New Roman"/>
                                    <w:lang w:val="en-US"/>
                                  </w:rPr>
                                  <m:t>Ξ</m:t>
                                </m:r>
                              </m:e>
                              <m:sub>
                                <m:r>
                                  <w:rPr>
                                    <w:rFonts w:ascii="Cambria Math" w:hAnsi="Cambria Math" w:cs="Times New Roman"/>
                                    <w:lang w:val="en-US"/>
                                  </w:rPr>
                                  <m:t>n</m:t>
                                </m:r>
                              </m:sub>
                            </m:sSub>
                          </m:e>
                        </m:nary>
                      </m:num>
                      <m:den>
                        <m:r>
                          <w:rPr>
                            <w:rFonts w:ascii="Cambria Math" w:hAnsi="Cambria Math" w:cs="Times New Roman"/>
                            <w:lang w:val="en-US"/>
                          </w:rPr>
                          <m:t>DP</m:t>
                        </m:r>
                      </m:den>
                    </m:f>
                  </m:e>
                </m:d>
                <m:r>
                  <w:rPr>
                    <w:rFonts w:ascii="Cambria Math" w:hAnsi="Cambria Math" w:cs="Times New Roman"/>
                    <w:lang w:val="en-US"/>
                  </w:rPr>
                  <m:t>MM;</m:t>
                </m:r>
              </m:oMath>
            </m:oMathPara>
          </w:p>
        </w:tc>
        <w:tc>
          <w:tcPr>
            <w:tcW w:w="624" w:type="dxa"/>
            <w:vAlign w:val="center"/>
          </w:tcPr>
          <w:p w14:paraId="6F75D5C0" w14:textId="77777777" w:rsidR="00C434B3" w:rsidRDefault="00C434B3" w:rsidP="00C434B3">
            <w:pPr>
              <w:jc w:val="center"/>
              <w:rPr>
                <w:rFonts w:ascii="Times New Roman" w:hAnsi="Times New Roman" w:cs="Times New Roman"/>
                <w:lang w:val="en-US"/>
              </w:rPr>
            </w:pPr>
            <w:r>
              <w:rPr>
                <w:rFonts w:ascii="Times New Roman" w:hAnsi="Times New Roman" w:cs="Times New Roman"/>
                <w:lang w:val="en-US"/>
              </w:rPr>
              <w:t>(10)</w:t>
            </w:r>
          </w:p>
        </w:tc>
      </w:tr>
    </w:tbl>
    <w:p w14:paraId="1633B4EA" w14:textId="77777777" w:rsidR="00D4022D" w:rsidRDefault="00D4022D" w:rsidP="00384EB0">
      <w:pPr>
        <w:jc w:val="both"/>
        <w:rPr>
          <w:rFonts w:ascii="Times New Roman" w:hAnsi="Times New Roman" w:cs="Times New Roman"/>
          <w:lang w:val="en-US"/>
        </w:rPr>
      </w:pPr>
    </w:p>
    <w:p w14:paraId="58B03765" w14:textId="77777777" w:rsidR="00E52ACE" w:rsidRPr="0068656E" w:rsidRDefault="00E52ACE"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lastRenderedPageBreak/>
        <w:t>where</w:t>
      </w:r>
      <w:r w:rsidR="00BF6622">
        <w:rPr>
          <w:rFonts w:ascii="Times New Roman" w:hAnsi="Times New Roman" w:cs="Times New Roman"/>
          <w:lang w:val="en-US"/>
        </w:rPr>
        <w:t xml:space="preserve"> </w:t>
      </w:r>
      <m:oMath>
        <m:sSub>
          <m:sSubPr>
            <m:ctrlPr>
              <w:rPr>
                <w:rFonts w:ascii="Cambria Math" w:hAnsi="Cambria Math" w:cs="Times New Roman"/>
                <w:i/>
                <w:lang w:val="en-US"/>
              </w:rPr>
            </m:ctrlPr>
          </m:sSubPr>
          <m:e>
            <m:r>
              <m:rPr>
                <m:sty m:val="p"/>
              </m:rPr>
              <w:rPr>
                <w:rFonts w:ascii="Cambria Math" w:hAnsi="Cambria Math" w:cs="Times New Roman"/>
                <w:lang w:val="en-US"/>
              </w:rPr>
              <m:t>Φ</m:t>
            </m:r>
          </m:e>
          <m:sub>
            <m:r>
              <w:rPr>
                <w:rFonts w:ascii="Cambria Math" w:hAnsi="Cambria Math" w:cs="Times New Roman"/>
                <w:lang w:val="en-US"/>
              </w:rPr>
              <m:t>1</m:t>
            </m:r>
          </m:sub>
        </m:sSub>
      </m:oMath>
      <w:r w:rsidR="00BF6622">
        <w:rPr>
          <w:rFonts w:ascii="Times New Roman" w:hAnsi="Times New Roman" w:cs="Times New Roman"/>
          <w:lang w:val="en-US"/>
        </w:rPr>
        <w:t xml:space="preserve"> </w:t>
      </w:r>
      <w:r w:rsidRPr="0068656E">
        <w:rPr>
          <w:rFonts w:ascii="Times New Roman" w:hAnsi="Times New Roman" w:cs="Times New Roman"/>
          <w:lang w:val="en-US"/>
        </w:rPr>
        <w:t>represents sugarcane final</w:t>
      </w:r>
      <w:r w:rsidR="00060A64" w:rsidRPr="0068656E">
        <w:rPr>
          <w:rFonts w:ascii="Times New Roman" w:hAnsi="Times New Roman" w:cs="Times New Roman"/>
          <w:lang w:val="en-US"/>
        </w:rPr>
        <w:t xml:space="preserve"> demand;</w:t>
      </w:r>
      <w:r w:rsidR="00BF6622">
        <w:rPr>
          <w:rFonts w:ascii="Times New Roman" w:hAnsi="Times New Roman" w:cs="Times New Roman"/>
          <w:lang w:val="en-US"/>
        </w:rPr>
        <w:t xml:space="preserve"> </w:t>
      </w:r>
      <m:oMath>
        <m:nary>
          <m:naryPr>
            <m:chr m:val="∑"/>
            <m:limLoc m:val="subSup"/>
            <m:ctrlPr>
              <w:rPr>
                <w:rFonts w:ascii="Cambria Math" w:hAnsi="Cambria Math" w:cs="Times New Roman"/>
                <w:i/>
                <w:lang w:val="en-US"/>
              </w:rPr>
            </m:ctrlPr>
          </m:naryPr>
          <m:sub>
            <m:r>
              <w:rPr>
                <w:rFonts w:ascii="Cambria Math" w:hAnsi="Cambria Math" w:cs="Times New Roman"/>
                <w:lang w:val="en-US"/>
              </w:rPr>
              <m:t>n=1</m:t>
            </m:r>
          </m:sub>
          <m:sup>
            <m:r>
              <w:rPr>
                <w:rFonts w:ascii="Cambria Math" w:hAnsi="Cambria Math" w:cs="Times New Roman"/>
                <w:lang w:val="en-US"/>
              </w:rPr>
              <m:t>3</m:t>
            </m:r>
          </m:sup>
          <m:e>
            <m:sSub>
              <m:sSubPr>
                <m:ctrlPr>
                  <w:rPr>
                    <w:rFonts w:ascii="Cambria Math" w:hAnsi="Cambria Math" w:cs="Times New Roman"/>
                    <w:i/>
                    <w:lang w:val="en-US"/>
                  </w:rPr>
                </m:ctrlPr>
              </m:sSubPr>
              <m:e>
                <m:r>
                  <m:rPr>
                    <m:sty m:val="p"/>
                  </m:rPr>
                  <w:rPr>
                    <w:rFonts w:ascii="Cambria Math" w:hAnsi="Cambria Math" w:cs="Times New Roman"/>
                    <w:lang w:val="en-US"/>
                  </w:rPr>
                  <m:t>Ξ</m:t>
                </m:r>
              </m:e>
              <m:sub>
                <m:r>
                  <w:rPr>
                    <w:rFonts w:ascii="Cambria Math" w:hAnsi="Cambria Math" w:cs="Times New Roman"/>
                    <w:lang w:val="en-US"/>
                  </w:rPr>
                  <m:t>n</m:t>
                </m:r>
              </m:sub>
            </m:sSub>
          </m:e>
        </m:nary>
      </m:oMath>
      <w:r w:rsidR="00BF6622">
        <w:rPr>
          <w:rFonts w:ascii="Times New Roman" w:hAnsi="Times New Roman" w:cs="Times New Roman"/>
          <w:lang w:val="en-US"/>
        </w:rPr>
        <w:t xml:space="preserve"> </w:t>
      </w:r>
      <w:r w:rsidR="00060A64" w:rsidRPr="0068656E">
        <w:rPr>
          <w:rFonts w:ascii="Times New Roman" w:hAnsi="Times New Roman" w:cs="Times New Roman"/>
          <w:lang w:val="en-US"/>
        </w:rPr>
        <w:t>correspond</w:t>
      </w:r>
      <w:r w:rsidRPr="0068656E">
        <w:rPr>
          <w:rFonts w:ascii="Times New Roman" w:hAnsi="Times New Roman" w:cs="Times New Roman"/>
          <w:lang w:val="en-US"/>
        </w:rPr>
        <w:t>s to the sum of the final demand by sugarcane, alcohol and drinking;</w:t>
      </w:r>
      <w:r w:rsidR="00BF6622">
        <w:rPr>
          <w:rFonts w:ascii="Times New Roman" w:hAnsi="Times New Roman" w:cs="Times New Roman"/>
          <w:lang w:val="en-US"/>
        </w:rPr>
        <w:t xml:space="preserve"> </w:t>
      </w:r>
      <m:oMath>
        <m:r>
          <w:rPr>
            <w:rFonts w:ascii="Cambria Math" w:hAnsi="Cambria Math" w:cs="Times New Roman"/>
            <w:lang w:val="en-US"/>
          </w:rPr>
          <m:t>DP</m:t>
        </m:r>
      </m:oMath>
      <w:r w:rsidR="00BF6622">
        <w:rPr>
          <w:rFonts w:ascii="Times New Roman" w:hAnsi="Times New Roman" w:cs="Times New Roman"/>
          <w:lang w:val="en-US"/>
        </w:rPr>
        <w:t xml:space="preserve"> </w:t>
      </w:r>
      <w:r w:rsidRPr="0068656E">
        <w:rPr>
          <w:rFonts w:ascii="Times New Roman" w:hAnsi="Times New Roman" w:cs="Times New Roman"/>
          <w:lang w:val="en-US"/>
        </w:rPr>
        <w:t>is the domestic production and</w:t>
      </w:r>
      <w:r w:rsidR="00BF6622">
        <w:rPr>
          <w:rFonts w:ascii="Times New Roman" w:hAnsi="Times New Roman" w:cs="Times New Roman"/>
          <w:lang w:val="en-US"/>
        </w:rPr>
        <w:t xml:space="preserve"> </w:t>
      </w:r>
      <m:oMath>
        <m:r>
          <w:rPr>
            <w:rFonts w:ascii="Cambria Math" w:hAnsi="Cambria Math" w:cs="Times New Roman"/>
            <w:lang w:val="en-US"/>
          </w:rPr>
          <m:t>MM</m:t>
        </m:r>
      </m:oMath>
      <w:r w:rsidR="00BF6622">
        <w:rPr>
          <w:rFonts w:ascii="Times New Roman" w:hAnsi="Times New Roman" w:cs="Times New Roman"/>
          <w:lang w:val="en-US"/>
        </w:rPr>
        <w:t xml:space="preserve"> </w:t>
      </w:r>
      <w:r w:rsidRPr="0068656E">
        <w:rPr>
          <w:rFonts w:ascii="Times New Roman" w:hAnsi="Times New Roman" w:cs="Times New Roman"/>
          <w:lang w:val="en-US"/>
        </w:rPr>
        <w:t xml:space="preserve">is the marketing margin. </w:t>
      </w:r>
    </w:p>
    <w:p w14:paraId="5862DCF5" w14:textId="77777777" w:rsidR="005556B1" w:rsidRDefault="00E52ACE"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In this sense, the gross domestic product of the sugar and alcohol agribusiness, under the perspective of production, i</w:t>
      </w:r>
      <w:r w:rsidR="005556B1">
        <w:rPr>
          <w:rFonts w:ascii="Times New Roman" w:hAnsi="Times New Roman" w:cs="Times New Roman"/>
          <w:lang w:val="en-US"/>
        </w:rPr>
        <w:t>s given by the sum of the four a</w:t>
      </w:r>
      <w:r w:rsidRPr="0068656E">
        <w:rPr>
          <w:rFonts w:ascii="Times New Roman" w:hAnsi="Times New Roman" w:cs="Times New Roman"/>
          <w:lang w:val="en-US"/>
        </w:rPr>
        <w:t>ggregates above:</w:t>
      </w:r>
    </w:p>
    <w:p w14:paraId="63C37905" w14:textId="77777777" w:rsidR="005556B1" w:rsidRDefault="003949D9" w:rsidP="005556B1">
      <w:pPr>
        <w:spacing w:line="480" w:lineRule="auto"/>
        <w:jc w:val="both"/>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sugar and alcohol</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II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III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GDP</m:t>
              </m:r>
            </m:e>
            <m:sub>
              <m:r>
                <w:rPr>
                  <w:rFonts w:ascii="Cambria Math" w:hAnsi="Cambria Math" w:cs="Times New Roman"/>
                  <w:lang w:val="en-US"/>
                </w:rPr>
                <m:t>IV</m:t>
              </m:r>
            </m:sub>
          </m:sSub>
        </m:oMath>
      </m:oMathPara>
    </w:p>
    <w:p w14:paraId="33AC513F" w14:textId="77777777" w:rsidR="00DB1254" w:rsidRPr="005556B1" w:rsidRDefault="006440DF" w:rsidP="00ED4EE3">
      <w:pPr>
        <w:spacing w:line="480" w:lineRule="auto"/>
        <w:jc w:val="both"/>
        <w:rPr>
          <w:rFonts w:ascii="Times New Roman" w:hAnsi="Times New Roman" w:cs="Times New Roman"/>
          <w:b/>
          <w:lang w:val="en-US"/>
        </w:rPr>
      </w:pPr>
      <w:r w:rsidRPr="005556B1">
        <w:rPr>
          <w:rFonts w:ascii="Times New Roman" w:hAnsi="Times New Roman" w:cs="Times New Roman"/>
          <w:b/>
          <w:lang w:val="en-US"/>
        </w:rPr>
        <w:t>5 Discussing the results</w:t>
      </w:r>
    </w:p>
    <w:p w14:paraId="74B5B1F4" w14:textId="77777777" w:rsidR="00DB1254" w:rsidRPr="0068656E" w:rsidRDefault="00DB1254" w:rsidP="00ED4EE3">
      <w:pPr>
        <w:spacing w:line="480" w:lineRule="auto"/>
        <w:jc w:val="both"/>
        <w:rPr>
          <w:rFonts w:ascii="Times New Roman" w:hAnsi="Times New Roman" w:cs="Times New Roman"/>
          <w:lang w:val="en-US"/>
        </w:rPr>
      </w:pPr>
      <w:r w:rsidRPr="005556B1">
        <w:rPr>
          <w:rFonts w:ascii="Times New Roman" w:hAnsi="Times New Roman" w:cs="Times New Roman"/>
          <w:lang w:val="en-US"/>
        </w:rPr>
        <w:tab/>
      </w:r>
      <w:r w:rsidRPr="0068656E">
        <w:rPr>
          <w:rFonts w:ascii="Times New Roman" w:hAnsi="Times New Roman" w:cs="Times New Roman"/>
          <w:lang w:val="en-US"/>
        </w:rPr>
        <w:t>It is noted by the Table 2 below that the GDP of the Brazilian sugar and alcohol</w:t>
      </w:r>
      <w:r w:rsidR="00A01756">
        <w:rPr>
          <w:rFonts w:ascii="Times New Roman" w:hAnsi="Times New Roman" w:cs="Times New Roman"/>
          <w:lang w:val="en-US"/>
        </w:rPr>
        <w:t xml:space="preserve"> sector, in 2004, represented 6.</w:t>
      </w:r>
      <w:r w:rsidRPr="0068656E">
        <w:rPr>
          <w:rFonts w:ascii="Times New Roman" w:hAnsi="Times New Roman" w:cs="Times New Roman"/>
          <w:lang w:val="en-US"/>
        </w:rPr>
        <w:t>82% of the Brazilian GDP, while in</w:t>
      </w:r>
      <w:r w:rsidR="00A01756">
        <w:rPr>
          <w:rFonts w:ascii="Times New Roman" w:hAnsi="Times New Roman" w:cs="Times New Roman"/>
          <w:lang w:val="en-US"/>
        </w:rPr>
        <w:t xml:space="preserve"> the Northeast this value was 8.</w:t>
      </w:r>
      <w:r w:rsidRPr="0068656E">
        <w:rPr>
          <w:rFonts w:ascii="Times New Roman" w:hAnsi="Times New Roman" w:cs="Times New Roman"/>
          <w:lang w:val="en-US"/>
        </w:rPr>
        <w:t>15% of the GDP in this region. In monetary terms, the amounts totalized R$ 113,6 billion and R$ 17,7 billion, respectively for Brazil and Northeast. In this way, it is perceived that the participation of the sugar and alcohol agribusiness of Northeast in the Brazilian</w:t>
      </w:r>
      <w:r w:rsidR="00A01756">
        <w:rPr>
          <w:rFonts w:ascii="Times New Roman" w:hAnsi="Times New Roman" w:cs="Times New Roman"/>
          <w:lang w:val="en-US"/>
        </w:rPr>
        <w:t xml:space="preserve"> GDP in this same sector was 15.</w:t>
      </w:r>
      <w:r w:rsidRPr="0068656E">
        <w:rPr>
          <w:rFonts w:ascii="Times New Roman" w:hAnsi="Times New Roman" w:cs="Times New Roman"/>
          <w:lang w:val="en-US"/>
        </w:rPr>
        <w:t>57%. It is worth mentioning that for the year of 2004, the participatio</w:t>
      </w:r>
      <w:r w:rsidR="00A01756">
        <w:rPr>
          <w:rFonts w:ascii="Times New Roman" w:hAnsi="Times New Roman" w:cs="Times New Roman"/>
          <w:lang w:val="en-US"/>
        </w:rPr>
        <w:t>n in the agribusiness GDP was 6.</w:t>
      </w:r>
      <w:r w:rsidRPr="0068656E">
        <w:rPr>
          <w:rFonts w:ascii="Times New Roman" w:hAnsi="Times New Roman" w:cs="Times New Roman"/>
          <w:lang w:val="en-US"/>
        </w:rPr>
        <w:t>92%, using the traditional classification in primary, secondary and tertiary sectors. However, this works verified that only the sugar</w:t>
      </w:r>
      <w:r w:rsidR="00A01756">
        <w:rPr>
          <w:rFonts w:ascii="Times New Roman" w:hAnsi="Times New Roman" w:cs="Times New Roman"/>
          <w:lang w:val="en-US"/>
        </w:rPr>
        <w:t xml:space="preserve"> and alcohol sector responded 6.</w:t>
      </w:r>
      <w:r w:rsidRPr="0068656E">
        <w:rPr>
          <w:rFonts w:ascii="Times New Roman" w:hAnsi="Times New Roman" w:cs="Times New Roman"/>
          <w:lang w:val="en-US"/>
        </w:rPr>
        <w:t xml:space="preserve">82% of the national GDP, </w:t>
      </w:r>
      <w:r w:rsidR="00FC3D9A" w:rsidRPr="0068656E">
        <w:rPr>
          <w:rFonts w:ascii="Times New Roman" w:hAnsi="Times New Roman" w:cs="Times New Roman"/>
          <w:lang w:val="en-US"/>
        </w:rPr>
        <w:t>contributing</w:t>
      </w:r>
      <w:r w:rsidRPr="0068656E">
        <w:rPr>
          <w:rFonts w:ascii="Times New Roman" w:hAnsi="Times New Roman" w:cs="Times New Roman"/>
          <w:lang w:val="en-US"/>
        </w:rPr>
        <w:t xml:space="preserve"> to the perception that the </w:t>
      </w:r>
      <w:r w:rsidR="00FC3D9A" w:rsidRPr="0068656E">
        <w:rPr>
          <w:rFonts w:ascii="Times New Roman" w:hAnsi="Times New Roman" w:cs="Times New Roman"/>
          <w:lang w:val="en-US"/>
        </w:rPr>
        <w:t>traditional</w:t>
      </w:r>
      <w:r w:rsidRPr="0068656E">
        <w:rPr>
          <w:rFonts w:ascii="Times New Roman" w:hAnsi="Times New Roman" w:cs="Times New Roman"/>
          <w:lang w:val="en-US"/>
        </w:rPr>
        <w:t xml:space="preserve"> approach underestimate </w:t>
      </w:r>
      <w:r w:rsidR="00FC3D9A" w:rsidRPr="0068656E">
        <w:rPr>
          <w:rFonts w:ascii="Times New Roman" w:hAnsi="Times New Roman" w:cs="Times New Roman"/>
          <w:lang w:val="en-US"/>
        </w:rPr>
        <w:t>the participation in agribusiness</w:t>
      </w:r>
      <w:r w:rsidRPr="0068656E">
        <w:rPr>
          <w:rFonts w:ascii="Times New Roman" w:hAnsi="Times New Roman" w:cs="Times New Roman"/>
          <w:lang w:val="en-US"/>
        </w:rPr>
        <w:t>.</w:t>
      </w:r>
    </w:p>
    <w:p w14:paraId="7978D632" w14:textId="77777777" w:rsidR="00DB1254" w:rsidRPr="0068656E" w:rsidRDefault="00DB1254"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In relation to the segments (upstream and downstream) more representative in the quantification of the gross domestic product by aggregates resulted in the following results for Brazil and Northeast, re</w:t>
      </w:r>
      <w:r w:rsidR="00A01756">
        <w:rPr>
          <w:rFonts w:ascii="Times New Roman" w:hAnsi="Times New Roman" w:cs="Times New Roman"/>
          <w:lang w:val="en-US"/>
        </w:rPr>
        <w:t>spectively: a) Aggregate I – 10.81% and 10.27%; b) Aggregate II – 29.98% and 32.28%; c) Aggregate III – 34.93% and 26.91%, and d) Aggregate IV – 24.27% and 30.</w:t>
      </w:r>
      <w:r w:rsidRPr="0068656E">
        <w:rPr>
          <w:rFonts w:ascii="Times New Roman" w:hAnsi="Times New Roman" w:cs="Times New Roman"/>
          <w:lang w:val="en-US"/>
        </w:rPr>
        <w:t xml:space="preserve">54%. </w:t>
      </w:r>
      <w:r w:rsidR="0015616B" w:rsidRPr="0068656E">
        <w:rPr>
          <w:rFonts w:ascii="Times New Roman" w:hAnsi="Times New Roman" w:cs="Times New Roman"/>
          <w:lang w:val="en-US"/>
        </w:rPr>
        <w:t xml:space="preserve">Starting the analysis of the aggregates according to the core </w:t>
      </w:r>
      <w:r w:rsidR="00FC3D9A" w:rsidRPr="0068656E">
        <w:rPr>
          <w:rFonts w:ascii="Times New Roman" w:hAnsi="Times New Roman" w:cs="Times New Roman"/>
          <w:lang w:val="en-US"/>
        </w:rPr>
        <w:t>acritical</w:t>
      </w:r>
      <w:r w:rsidR="0015616B" w:rsidRPr="0068656E">
        <w:rPr>
          <w:rFonts w:ascii="Times New Roman" w:hAnsi="Times New Roman" w:cs="Times New Roman"/>
          <w:lang w:val="en-US"/>
        </w:rPr>
        <w:t xml:space="preserve"> of the sugar and alcohol agribusiness, it is observed that this one had less representative magnitude </w:t>
      </w:r>
      <w:r w:rsidR="00A01756">
        <w:rPr>
          <w:rFonts w:ascii="Times New Roman" w:hAnsi="Times New Roman" w:cs="Times New Roman"/>
          <w:lang w:val="en-US"/>
        </w:rPr>
        <w:t>to Brazil (29.</w:t>
      </w:r>
      <w:r w:rsidR="00FC3D9A" w:rsidRPr="0068656E">
        <w:rPr>
          <w:rFonts w:ascii="Times New Roman" w:hAnsi="Times New Roman" w:cs="Times New Roman"/>
          <w:lang w:val="en-US"/>
        </w:rPr>
        <w:t>89%), whe</w:t>
      </w:r>
      <w:r w:rsidR="0015616B" w:rsidRPr="0068656E">
        <w:rPr>
          <w:rFonts w:ascii="Times New Roman" w:hAnsi="Times New Roman" w:cs="Times New Roman"/>
          <w:lang w:val="en-US"/>
        </w:rPr>
        <w:t xml:space="preserve">n compared to the value obtained in the </w:t>
      </w:r>
      <w:r w:rsidR="00FC3D9A" w:rsidRPr="0068656E">
        <w:rPr>
          <w:rFonts w:ascii="Times New Roman" w:hAnsi="Times New Roman" w:cs="Times New Roman"/>
          <w:lang w:val="en-US"/>
        </w:rPr>
        <w:t>Northeast</w:t>
      </w:r>
      <w:r w:rsidR="00A01756">
        <w:rPr>
          <w:rFonts w:ascii="Times New Roman" w:hAnsi="Times New Roman" w:cs="Times New Roman"/>
          <w:lang w:val="en-US"/>
        </w:rPr>
        <w:t xml:space="preserve"> region (32.</w:t>
      </w:r>
      <w:r w:rsidR="0015616B" w:rsidRPr="0068656E">
        <w:rPr>
          <w:rFonts w:ascii="Times New Roman" w:hAnsi="Times New Roman" w:cs="Times New Roman"/>
          <w:lang w:val="en-US"/>
        </w:rPr>
        <w:t>28%)</w:t>
      </w:r>
    </w:p>
    <w:p w14:paraId="2BBE4669" w14:textId="77777777" w:rsidR="006440DF" w:rsidRPr="0068656E" w:rsidRDefault="0015616B"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lastRenderedPageBreak/>
        <w:tab/>
        <w:t xml:space="preserve">Nevertheless, it is evidenced the importance of the sector “out of the gate” in the composition of the gross domestic product of </w:t>
      </w:r>
      <w:r w:rsidR="00AB66BF" w:rsidRPr="0068656E">
        <w:rPr>
          <w:rFonts w:ascii="Times New Roman" w:hAnsi="Times New Roman" w:cs="Times New Roman"/>
          <w:lang w:val="en-US"/>
        </w:rPr>
        <w:t>activities</w:t>
      </w:r>
      <w:r w:rsidRPr="0068656E">
        <w:rPr>
          <w:rFonts w:ascii="Times New Roman" w:hAnsi="Times New Roman" w:cs="Times New Roman"/>
          <w:lang w:val="en-US"/>
        </w:rPr>
        <w:t xml:space="preserve"> from the sugar and </w:t>
      </w:r>
      <w:r w:rsidR="00AB66BF" w:rsidRPr="0068656E">
        <w:rPr>
          <w:rFonts w:ascii="Times New Roman" w:hAnsi="Times New Roman" w:cs="Times New Roman"/>
          <w:lang w:val="en-US"/>
        </w:rPr>
        <w:t>alcohol</w:t>
      </w:r>
      <w:r w:rsidRPr="0068656E">
        <w:rPr>
          <w:rFonts w:ascii="Times New Roman" w:hAnsi="Times New Roman" w:cs="Times New Roman"/>
          <w:lang w:val="en-US"/>
        </w:rPr>
        <w:t xml:space="preserve"> </w:t>
      </w:r>
      <w:r w:rsidR="00AB66BF" w:rsidRPr="0068656E">
        <w:rPr>
          <w:rFonts w:ascii="Times New Roman" w:hAnsi="Times New Roman" w:cs="Times New Roman"/>
          <w:lang w:val="en-US"/>
        </w:rPr>
        <w:t>activity (as in B</w:t>
      </w:r>
      <w:r w:rsidRPr="0068656E">
        <w:rPr>
          <w:rFonts w:ascii="Times New Roman" w:hAnsi="Times New Roman" w:cs="Times New Roman"/>
          <w:lang w:val="en-US"/>
        </w:rPr>
        <w:t xml:space="preserve">razil as in Northeast) as well as the </w:t>
      </w:r>
      <w:r w:rsidR="00AB66BF" w:rsidRPr="0068656E">
        <w:rPr>
          <w:rFonts w:ascii="Times New Roman" w:hAnsi="Times New Roman" w:cs="Times New Roman"/>
          <w:lang w:val="en-US"/>
        </w:rPr>
        <w:t>traditional</w:t>
      </w:r>
      <w:r w:rsidRPr="0068656E">
        <w:rPr>
          <w:rFonts w:ascii="Times New Roman" w:hAnsi="Times New Roman" w:cs="Times New Roman"/>
          <w:lang w:val="en-US"/>
        </w:rPr>
        <w:t xml:space="preserve"> approach of classification </w:t>
      </w:r>
      <w:r w:rsidR="00AB66BF" w:rsidRPr="0068656E">
        <w:rPr>
          <w:rFonts w:ascii="Times New Roman" w:hAnsi="Times New Roman" w:cs="Times New Roman"/>
          <w:lang w:val="en-US"/>
        </w:rPr>
        <w:t xml:space="preserve">that </w:t>
      </w:r>
      <w:r w:rsidRPr="0068656E">
        <w:rPr>
          <w:rFonts w:ascii="Times New Roman" w:hAnsi="Times New Roman" w:cs="Times New Roman"/>
          <w:lang w:val="en-US"/>
        </w:rPr>
        <w:t>underestimate</w:t>
      </w:r>
      <w:r w:rsidR="00AB66BF" w:rsidRPr="0068656E">
        <w:rPr>
          <w:rFonts w:ascii="Times New Roman" w:hAnsi="Times New Roman" w:cs="Times New Roman"/>
          <w:lang w:val="en-US"/>
        </w:rPr>
        <w:t>s</w:t>
      </w:r>
      <w:r w:rsidRPr="0068656E">
        <w:rPr>
          <w:rFonts w:ascii="Times New Roman" w:hAnsi="Times New Roman" w:cs="Times New Roman"/>
          <w:lang w:val="en-US"/>
        </w:rPr>
        <w:t xml:space="preserve"> the</w:t>
      </w:r>
      <w:r w:rsidR="00AB66BF" w:rsidRPr="0068656E">
        <w:rPr>
          <w:rFonts w:ascii="Times New Roman" w:hAnsi="Times New Roman" w:cs="Times New Roman"/>
          <w:lang w:val="en-US"/>
        </w:rPr>
        <w:t xml:space="preserve"> GDP in these</w:t>
      </w:r>
      <w:r w:rsidRPr="0068656E">
        <w:rPr>
          <w:rFonts w:ascii="Times New Roman" w:hAnsi="Times New Roman" w:cs="Times New Roman"/>
          <w:lang w:val="en-US"/>
        </w:rPr>
        <w:t xml:space="preserve"> </w:t>
      </w:r>
      <w:r w:rsidR="00AB66BF" w:rsidRPr="0068656E">
        <w:rPr>
          <w:rFonts w:ascii="Times New Roman" w:hAnsi="Times New Roman" w:cs="Times New Roman"/>
          <w:lang w:val="en-US"/>
        </w:rPr>
        <w:t>activates</w:t>
      </w:r>
      <w:r w:rsidRPr="0068656E">
        <w:rPr>
          <w:rFonts w:ascii="Times New Roman" w:hAnsi="Times New Roman" w:cs="Times New Roman"/>
          <w:lang w:val="en-US"/>
        </w:rPr>
        <w:t xml:space="preserve"> since it does not consider </w:t>
      </w:r>
      <w:r w:rsidR="00AB66BF" w:rsidRPr="0068656E">
        <w:rPr>
          <w:rFonts w:ascii="Times New Roman" w:hAnsi="Times New Roman" w:cs="Times New Roman"/>
          <w:lang w:val="en-US"/>
        </w:rPr>
        <w:t>forward</w:t>
      </w:r>
      <w:r w:rsidRPr="0068656E">
        <w:rPr>
          <w:rFonts w:ascii="Times New Roman" w:hAnsi="Times New Roman" w:cs="Times New Roman"/>
          <w:lang w:val="en-US"/>
        </w:rPr>
        <w:t xml:space="preserve"> and backward linages. It is also observed that the upstream from th</w:t>
      </w:r>
      <w:r w:rsidR="00AB66BF" w:rsidRPr="0068656E">
        <w:rPr>
          <w:rFonts w:ascii="Times New Roman" w:hAnsi="Times New Roman" w:cs="Times New Roman"/>
          <w:lang w:val="en-US"/>
        </w:rPr>
        <w:t>e</w:t>
      </w:r>
      <w:r w:rsidRPr="0068656E">
        <w:rPr>
          <w:rFonts w:ascii="Times New Roman" w:hAnsi="Times New Roman" w:cs="Times New Roman"/>
          <w:lang w:val="en-US"/>
        </w:rPr>
        <w:t>se activities (“out of the gate”</w:t>
      </w:r>
      <w:r w:rsidR="00AB66BF" w:rsidRPr="0068656E">
        <w:rPr>
          <w:rFonts w:ascii="Times New Roman" w:hAnsi="Times New Roman" w:cs="Times New Roman"/>
          <w:lang w:val="en-US"/>
        </w:rPr>
        <w:t>)</w:t>
      </w:r>
      <w:r w:rsidRPr="0068656E">
        <w:rPr>
          <w:rFonts w:ascii="Times New Roman" w:hAnsi="Times New Roman" w:cs="Times New Roman"/>
          <w:lang w:val="en-US"/>
        </w:rPr>
        <w:t xml:space="preserve"> in the sugar and </w:t>
      </w:r>
      <w:r w:rsidR="00AB66BF" w:rsidRPr="0068656E">
        <w:rPr>
          <w:rFonts w:ascii="Times New Roman" w:hAnsi="Times New Roman" w:cs="Times New Roman"/>
          <w:lang w:val="en-US"/>
        </w:rPr>
        <w:t>alcohol</w:t>
      </w:r>
      <w:r w:rsidRPr="0068656E">
        <w:rPr>
          <w:rFonts w:ascii="Times New Roman" w:hAnsi="Times New Roman" w:cs="Times New Roman"/>
          <w:lang w:val="en-US"/>
        </w:rPr>
        <w:t xml:space="preserve"> GDP is exp</w:t>
      </w:r>
      <w:r w:rsidR="004D1319">
        <w:rPr>
          <w:rFonts w:ascii="Times New Roman" w:hAnsi="Times New Roman" w:cs="Times New Roman"/>
          <w:lang w:val="en-US"/>
        </w:rPr>
        <w:t>ressive not only for Brazil, 70.</w:t>
      </w:r>
      <w:r w:rsidRPr="0068656E">
        <w:rPr>
          <w:rFonts w:ascii="Times New Roman" w:hAnsi="Times New Roman" w:cs="Times New Roman"/>
          <w:lang w:val="en-US"/>
        </w:rPr>
        <w:t xml:space="preserve">02%, but also for </w:t>
      </w:r>
      <w:r w:rsidR="00AB66BF" w:rsidRPr="0068656E">
        <w:rPr>
          <w:rFonts w:ascii="Times New Roman" w:hAnsi="Times New Roman" w:cs="Times New Roman"/>
          <w:lang w:val="en-US"/>
        </w:rPr>
        <w:t>Northeast</w:t>
      </w:r>
      <w:r w:rsidR="004D1319">
        <w:rPr>
          <w:rFonts w:ascii="Times New Roman" w:hAnsi="Times New Roman" w:cs="Times New Roman"/>
          <w:lang w:val="en-US"/>
        </w:rPr>
        <w:t xml:space="preserve"> (67.</w:t>
      </w:r>
      <w:r w:rsidRPr="0068656E">
        <w:rPr>
          <w:rFonts w:ascii="Times New Roman" w:hAnsi="Times New Roman" w:cs="Times New Roman"/>
          <w:lang w:val="en-US"/>
        </w:rPr>
        <w:t>72%). For Brazil, the aggregate with major participation in GDP was the agro</w:t>
      </w:r>
      <w:r w:rsidR="00AB66BF" w:rsidRPr="0068656E">
        <w:rPr>
          <w:rFonts w:ascii="Times New Roman" w:hAnsi="Times New Roman" w:cs="Times New Roman"/>
          <w:lang w:val="en-US"/>
        </w:rPr>
        <w:t xml:space="preserve"> industrial</w:t>
      </w:r>
      <w:r w:rsidRPr="0068656E">
        <w:rPr>
          <w:rFonts w:ascii="Times New Roman" w:hAnsi="Times New Roman" w:cs="Times New Roman"/>
          <w:lang w:val="en-US"/>
        </w:rPr>
        <w:t xml:space="preserve"> sector and, </w:t>
      </w:r>
      <w:r w:rsidR="00AB66BF" w:rsidRPr="0068656E">
        <w:rPr>
          <w:rFonts w:ascii="Times New Roman" w:hAnsi="Times New Roman" w:cs="Times New Roman"/>
          <w:lang w:val="en-US"/>
        </w:rPr>
        <w:t>fo</w:t>
      </w:r>
      <w:r w:rsidRPr="0068656E">
        <w:rPr>
          <w:rFonts w:ascii="Times New Roman" w:hAnsi="Times New Roman" w:cs="Times New Roman"/>
          <w:lang w:val="en-US"/>
        </w:rPr>
        <w:t xml:space="preserve">r </w:t>
      </w:r>
      <w:r w:rsidR="00AB66BF" w:rsidRPr="0068656E">
        <w:rPr>
          <w:rFonts w:ascii="Times New Roman" w:hAnsi="Times New Roman" w:cs="Times New Roman"/>
          <w:lang w:val="en-US"/>
        </w:rPr>
        <w:t>Northeast</w:t>
      </w:r>
      <w:r w:rsidRPr="0068656E">
        <w:rPr>
          <w:rFonts w:ascii="Times New Roman" w:hAnsi="Times New Roman" w:cs="Times New Roman"/>
          <w:lang w:val="en-US"/>
        </w:rPr>
        <w:t xml:space="preserve">, the core </w:t>
      </w:r>
      <w:r w:rsidR="00AB66BF" w:rsidRPr="0068656E">
        <w:rPr>
          <w:rFonts w:ascii="Times New Roman" w:hAnsi="Times New Roman" w:cs="Times New Roman"/>
          <w:lang w:val="en-US"/>
        </w:rPr>
        <w:t>activity presented the major</w:t>
      </w:r>
      <w:r w:rsidRPr="0068656E">
        <w:rPr>
          <w:rFonts w:ascii="Times New Roman" w:hAnsi="Times New Roman" w:cs="Times New Roman"/>
          <w:lang w:val="en-US"/>
        </w:rPr>
        <w:t xml:space="preserve"> </w:t>
      </w:r>
      <w:r w:rsidR="00AB66BF" w:rsidRPr="0068656E">
        <w:rPr>
          <w:rFonts w:ascii="Times New Roman" w:hAnsi="Times New Roman" w:cs="Times New Roman"/>
          <w:lang w:val="en-US"/>
        </w:rPr>
        <w:t>participation</w:t>
      </w:r>
      <w:r w:rsidRPr="0068656E">
        <w:rPr>
          <w:rFonts w:ascii="Times New Roman" w:hAnsi="Times New Roman" w:cs="Times New Roman"/>
          <w:lang w:val="en-US"/>
        </w:rPr>
        <w:t>. The aggregate I was that one in which the participation in B</w:t>
      </w:r>
      <w:r w:rsidR="00FC3D9A" w:rsidRPr="0068656E">
        <w:rPr>
          <w:rFonts w:ascii="Times New Roman" w:hAnsi="Times New Roman" w:cs="Times New Roman"/>
          <w:lang w:val="en-US"/>
        </w:rPr>
        <w:t xml:space="preserve">razil and </w:t>
      </w:r>
      <w:r w:rsidR="00AB66BF" w:rsidRPr="0068656E">
        <w:rPr>
          <w:rFonts w:ascii="Times New Roman" w:hAnsi="Times New Roman" w:cs="Times New Roman"/>
          <w:lang w:val="en-US"/>
        </w:rPr>
        <w:t>Northeast</w:t>
      </w:r>
      <w:r w:rsidR="00FC3D9A" w:rsidRPr="0068656E">
        <w:rPr>
          <w:rFonts w:ascii="Times New Roman" w:hAnsi="Times New Roman" w:cs="Times New Roman"/>
          <w:lang w:val="en-US"/>
        </w:rPr>
        <w:t xml:space="preserve"> level had minor representativity,</w:t>
      </w:r>
      <w:r w:rsidR="004D1319">
        <w:rPr>
          <w:rFonts w:ascii="Times New Roman" w:hAnsi="Times New Roman" w:cs="Times New Roman"/>
          <w:lang w:val="en-US"/>
        </w:rPr>
        <w:t xml:space="preserve"> respectively, 10.82% and 10.</w:t>
      </w:r>
      <w:r w:rsidR="00FC3D9A" w:rsidRPr="0068656E">
        <w:rPr>
          <w:rFonts w:ascii="Times New Roman" w:hAnsi="Times New Roman" w:cs="Times New Roman"/>
          <w:lang w:val="en-US"/>
        </w:rPr>
        <w:t>27%</w:t>
      </w:r>
    </w:p>
    <w:p w14:paraId="3D9FE291" w14:textId="77777777" w:rsidR="00FC3D9A" w:rsidRPr="0068656E" w:rsidRDefault="005B2E84"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t xml:space="preserve">In the aggregated analysis of the downstream sector of </w:t>
      </w:r>
      <w:r w:rsidR="00E52ACE" w:rsidRPr="0068656E">
        <w:rPr>
          <w:rFonts w:ascii="Times New Roman" w:hAnsi="Times New Roman" w:cs="Times New Roman"/>
          <w:lang w:val="en-US"/>
        </w:rPr>
        <w:t>agro-livestock activities (sum</w:t>
      </w:r>
      <w:r w:rsidRPr="0068656E">
        <w:rPr>
          <w:rFonts w:ascii="Times New Roman" w:hAnsi="Times New Roman" w:cs="Times New Roman"/>
          <w:lang w:val="en-US"/>
        </w:rPr>
        <w:t xml:space="preserve"> of the Aggregate III an</w:t>
      </w:r>
      <w:r w:rsidR="004D1319">
        <w:rPr>
          <w:rFonts w:ascii="Times New Roman" w:hAnsi="Times New Roman" w:cs="Times New Roman"/>
          <w:lang w:val="en-US"/>
        </w:rPr>
        <w:t>d IV), the values found were 59.20% (Brazil) and 57.</w:t>
      </w:r>
      <w:r w:rsidRPr="0068656E">
        <w:rPr>
          <w:rFonts w:ascii="Times New Roman" w:hAnsi="Times New Roman" w:cs="Times New Roman"/>
          <w:lang w:val="en-US"/>
        </w:rPr>
        <w:t>45% (Northeast). With these results, it is possible to state that the downstream sectors of the sugar and alcohol agro industrial complex respond for more than a half of both Brazil and Northeast’s GDP</w:t>
      </w:r>
      <w:r w:rsidR="009E386B">
        <w:rPr>
          <w:rFonts w:ascii="Times New Roman" w:hAnsi="Times New Roman" w:cs="Times New Roman"/>
          <w:lang w:val="en-US"/>
        </w:rPr>
        <w:t>.</w:t>
      </w:r>
      <w:r w:rsidRPr="0068656E">
        <w:rPr>
          <w:rFonts w:ascii="Times New Roman" w:hAnsi="Times New Roman" w:cs="Times New Roman"/>
          <w:lang w:val="en-US"/>
        </w:rPr>
        <w:t xml:space="preserve">  </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398"/>
        <w:gridCol w:w="236"/>
        <w:gridCol w:w="2055"/>
        <w:gridCol w:w="1238"/>
        <w:gridCol w:w="71"/>
      </w:tblGrid>
      <w:tr w:rsidR="00BF6F43" w:rsidRPr="00F153A8" w14:paraId="21C03E80" w14:textId="77777777" w:rsidTr="005B25D7">
        <w:trPr>
          <w:gridAfter w:val="1"/>
          <w:wAfter w:w="71" w:type="dxa"/>
          <w:jc w:val="center"/>
        </w:trPr>
        <w:tc>
          <w:tcPr>
            <w:tcW w:w="8721" w:type="dxa"/>
            <w:gridSpan w:val="6"/>
            <w:tcBorders>
              <w:top w:val="nil"/>
              <w:left w:val="nil"/>
              <w:right w:val="nil"/>
            </w:tcBorders>
            <w:shd w:val="clear" w:color="auto" w:fill="auto"/>
          </w:tcPr>
          <w:p w14:paraId="39C3A5E6" w14:textId="77777777" w:rsidR="00BF6F43" w:rsidRPr="00CA2128" w:rsidRDefault="00BF6F43" w:rsidP="00CA2128">
            <w:pPr>
              <w:spacing w:line="360" w:lineRule="auto"/>
              <w:jc w:val="both"/>
              <w:rPr>
                <w:rFonts w:ascii="Times New Roman" w:hAnsi="Times New Roman" w:cs="Times New Roman"/>
                <w:lang w:val="en-US"/>
              </w:rPr>
            </w:pPr>
            <w:r w:rsidRPr="00CA2128">
              <w:rPr>
                <w:rFonts w:ascii="Times New Roman" w:hAnsi="Times New Roman" w:cs="Times New Roman"/>
                <w:b/>
                <w:lang w:val="en-US"/>
              </w:rPr>
              <w:t>Table 2:</w:t>
            </w:r>
            <w:r w:rsidRPr="00CA2128">
              <w:rPr>
                <w:rFonts w:ascii="Times New Roman" w:hAnsi="Times New Roman" w:cs="Times New Roman"/>
                <w:lang w:val="en-US"/>
              </w:rPr>
              <w:t xml:space="preserve"> Gross domestic product of the Agribusiness in 2004 (millions of real)</w:t>
            </w:r>
          </w:p>
        </w:tc>
      </w:tr>
      <w:tr w:rsidR="00BF6F43" w:rsidRPr="00CA2128" w14:paraId="5DFC0172" w14:textId="77777777" w:rsidTr="005B25D7">
        <w:trPr>
          <w:jc w:val="center"/>
        </w:trPr>
        <w:tc>
          <w:tcPr>
            <w:tcW w:w="2376" w:type="dxa"/>
            <w:vMerge w:val="restart"/>
            <w:tcBorders>
              <w:left w:val="nil"/>
              <w:right w:val="nil"/>
            </w:tcBorders>
            <w:shd w:val="clear" w:color="auto" w:fill="auto"/>
            <w:vAlign w:val="center"/>
          </w:tcPr>
          <w:p w14:paraId="672A7516" w14:textId="77777777" w:rsidR="00BF6F43" w:rsidRPr="00CA2128" w:rsidRDefault="00BF6F43" w:rsidP="00CA2128">
            <w:pPr>
              <w:spacing w:line="360" w:lineRule="auto"/>
              <w:jc w:val="both"/>
              <w:rPr>
                <w:rFonts w:ascii="Times New Roman" w:hAnsi="Times New Roman" w:cs="Times New Roman"/>
                <w:b/>
              </w:rPr>
            </w:pPr>
            <w:r w:rsidRPr="00CA2128">
              <w:rPr>
                <w:rFonts w:ascii="Times New Roman" w:hAnsi="Times New Roman" w:cs="Times New Roman"/>
                <w:b/>
              </w:rPr>
              <w:t>Aggregates</w:t>
            </w:r>
          </w:p>
        </w:tc>
        <w:tc>
          <w:tcPr>
            <w:tcW w:w="2816" w:type="dxa"/>
            <w:gridSpan w:val="2"/>
            <w:tcBorders>
              <w:left w:val="nil"/>
              <w:right w:val="nil"/>
            </w:tcBorders>
            <w:shd w:val="clear" w:color="auto" w:fill="auto"/>
            <w:vAlign w:val="center"/>
          </w:tcPr>
          <w:p w14:paraId="62DABCDC" w14:textId="77777777" w:rsidR="00BF6F43" w:rsidRPr="00CA2128" w:rsidRDefault="00BF6F43" w:rsidP="00CA2128">
            <w:pPr>
              <w:spacing w:line="360" w:lineRule="auto"/>
              <w:jc w:val="center"/>
              <w:rPr>
                <w:rFonts w:ascii="Times New Roman" w:hAnsi="Times New Roman" w:cs="Times New Roman"/>
                <w:b/>
              </w:rPr>
            </w:pPr>
            <w:r w:rsidRPr="00CA2128">
              <w:rPr>
                <w:rFonts w:ascii="Times New Roman" w:hAnsi="Times New Roman" w:cs="Times New Roman"/>
                <w:b/>
              </w:rPr>
              <w:t>Northeast</w:t>
            </w:r>
          </w:p>
        </w:tc>
        <w:tc>
          <w:tcPr>
            <w:tcW w:w="236" w:type="dxa"/>
            <w:tcBorders>
              <w:left w:val="nil"/>
              <w:bottom w:val="nil"/>
              <w:right w:val="nil"/>
            </w:tcBorders>
            <w:shd w:val="clear" w:color="auto" w:fill="auto"/>
          </w:tcPr>
          <w:p w14:paraId="7C8C2507" w14:textId="77777777" w:rsidR="00BF6F43" w:rsidRPr="00CA2128" w:rsidRDefault="00BF6F43" w:rsidP="00CA2128">
            <w:pPr>
              <w:spacing w:line="360" w:lineRule="auto"/>
              <w:jc w:val="center"/>
              <w:rPr>
                <w:rFonts w:ascii="Times New Roman" w:hAnsi="Times New Roman" w:cs="Times New Roman"/>
                <w:b/>
              </w:rPr>
            </w:pPr>
          </w:p>
        </w:tc>
        <w:tc>
          <w:tcPr>
            <w:tcW w:w="3364" w:type="dxa"/>
            <w:gridSpan w:val="3"/>
            <w:tcBorders>
              <w:left w:val="nil"/>
              <w:right w:val="nil"/>
            </w:tcBorders>
            <w:shd w:val="clear" w:color="auto" w:fill="auto"/>
            <w:vAlign w:val="center"/>
          </w:tcPr>
          <w:p w14:paraId="277566F8" w14:textId="77777777" w:rsidR="00BF6F43" w:rsidRPr="00CA2128" w:rsidRDefault="00BF6F43" w:rsidP="00CA2128">
            <w:pPr>
              <w:spacing w:line="360" w:lineRule="auto"/>
              <w:jc w:val="center"/>
              <w:rPr>
                <w:rFonts w:ascii="Times New Roman" w:hAnsi="Times New Roman" w:cs="Times New Roman"/>
                <w:b/>
              </w:rPr>
            </w:pPr>
            <w:r w:rsidRPr="00CA2128">
              <w:rPr>
                <w:rFonts w:ascii="Times New Roman" w:hAnsi="Times New Roman" w:cs="Times New Roman"/>
                <w:b/>
              </w:rPr>
              <w:t>Brazil</w:t>
            </w:r>
          </w:p>
        </w:tc>
      </w:tr>
      <w:tr w:rsidR="00BF6F43" w:rsidRPr="00CA2128" w14:paraId="549EC85C" w14:textId="77777777" w:rsidTr="005B25D7">
        <w:trPr>
          <w:jc w:val="center"/>
        </w:trPr>
        <w:tc>
          <w:tcPr>
            <w:tcW w:w="2376" w:type="dxa"/>
            <w:vMerge/>
            <w:tcBorders>
              <w:left w:val="nil"/>
              <w:right w:val="nil"/>
            </w:tcBorders>
            <w:shd w:val="clear" w:color="auto" w:fill="auto"/>
          </w:tcPr>
          <w:p w14:paraId="27D06BF3" w14:textId="77777777" w:rsidR="00BF6F43" w:rsidRPr="00CA2128" w:rsidRDefault="00BF6F43" w:rsidP="00CA2128">
            <w:pPr>
              <w:spacing w:line="360" w:lineRule="auto"/>
              <w:jc w:val="both"/>
              <w:rPr>
                <w:rFonts w:ascii="Times New Roman" w:hAnsi="Times New Roman" w:cs="Times New Roman"/>
              </w:rPr>
            </w:pPr>
          </w:p>
        </w:tc>
        <w:tc>
          <w:tcPr>
            <w:tcW w:w="1418" w:type="dxa"/>
            <w:tcBorders>
              <w:left w:val="nil"/>
              <w:right w:val="nil"/>
            </w:tcBorders>
            <w:shd w:val="clear" w:color="auto" w:fill="auto"/>
          </w:tcPr>
          <w:p w14:paraId="01CA1496" w14:textId="77777777" w:rsidR="00BF6F43" w:rsidRPr="00CA2128" w:rsidRDefault="00BF6F43" w:rsidP="00CA2128">
            <w:pPr>
              <w:spacing w:line="360" w:lineRule="auto"/>
              <w:jc w:val="center"/>
              <w:rPr>
                <w:rFonts w:ascii="Times New Roman" w:hAnsi="Times New Roman" w:cs="Times New Roman"/>
                <w:b/>
              </w:rPr>
            </w:pPr>
            <w:r w:rsidRPr="00CA2128">
              <w:rPr>
                <w:rFonts w:ascii="Times New Roman" w:hAnsi="Times New Roman" w:cs="Times New Roman"/>
                <w:b/>
              </w:rPr>
              <w:t>GDP</w:t>
            </w:r>
          </w:p>
        </w:tc>
        <w:tc>
          <w:tcPr>
            <w:tcW w:w="1398" w:type="dxa"/>
            <w:tcBorders>
              <w:left w:val="nil"/>
              <w:right w:val="nil"/>
            </w:tcBorders>
            <w:shd w:val="clear" w:color="auto" w:fill="auto"/>
          </w:tcPr>
          <w:p w14:paraId="408460A9" w14:textId="77777777" w:rsidR="00BF6F43" w:rsidRPr="00CA2128" w:rsidRDefault="00BF6F43" w:rsidP="00CA2128">
            <w:pPr>
              <w:spacing w:line="360" w:lineRule="auto"/>
              <w:jc w:val="center"/>
              <w:rPr>
                <w:rFonts w:ascii="Times New Roman" w:hAnsi="Times New Roman" w:cs="Times New Roman"/>
                <w:b/>
              </w:rPr>
            </w:pPr>
            <w:r w:rsidRPr="00CA2128">
              <w:rPr>
                <w:rFonts w:ascii="Times New Roman" w:hAnsi="Times New Roman" w:cs="Times New Roman"/>
                <w:b/>
              </w:rPr>
              <w:t>%</w:t>
            </w:r>
          </w:p>
        </w:tc>
        <w:tc>
          <w:tcPr>
            <w:tcW w:w="236" w:type="dxa"/>
            <w:tcBorders>
              <w:top w:val="nil"/>
              <w:left w:val="nil"/>
              <w:right w:val="nil"/>
            </w:tcBorders>
            <w:shd w:val="clear" w:color="auto" w:fill="auto"/>
          </w:tcPr>
          <w:p w14:paraId="317D06A5" w14:textId="77777777" w:rsidR="00BF6F43" w:rsidRPr="00CA2128" w:rsidRDefault="00BF6F43" w:rsidP="00CA2128">
            <w:pPr>
              <w:spacing w:line="360" w:lineRule="auto"/>
              <w:jc w:val="center"/>
              <w:rPr>
                <w:rFonts w:ascii="Times New Roman" w:hAnsi="Times New Roman" w:cs="Times New Roman"/>
                <w:b/>
              </w:rPr>
            </w:pPr>
          </w:p>
        </w:tc>
        <w:tc>
          <w:tcPr>
            <w:tcW w:w="2055" w:type="dxa"/>
            <w:tcBorders>
              <w:left w:val="nil"/>
              <w:right w:val="nil"/>
            </w:tcBorders>
            <w:shd w:val="clear" w:color="auto" w:fill="auto"/>
          </w:tcPr>
          <w:p w14:paraId="2474AADB" w14:textId="77777777" w:rsidR="00BF6F43" w:rsidRPr="00CA2128" w:rsidRDefault="00BF6F43" w:rsidP="00CA2128">
            <w:pPr>
              <w:spacing w:line="360" w:lineRule="auto"/>
              <w:jc w:val="center"/>
              <w:rPr>
                <w:rFonts w:ascii="Times New Roman" w:hAnsi="Times New Roman" w:cs="Times New Roman"/>
                <w:b/>
              </w:rPr>
            </w:pPr>
            <w:r w:rsidRPr="00CA2128">
              <w:rPr>
                <w:rFonts w:ascii="Times New Roman" w:hAnsi="Times New Roman" w:cs="Times New Roman"/>
                <w:b/>
              </w:rPr>
              <w:t>GDP</w:t>
            </w:r>
          </w:p>
        </w:tc>
        <w:tc>
          <w:tcPr>
            <w:tcW w:w="1309" w:type="dxa"/>
            <w:gridSpan w:val="2"/>
            <w:tcBorders>
              <w:left w:val="nil"/>
              <w:right w:val="nil"/>
            </w:tcBorders>
            <w:shd w:val="clear" w:color="auto" w:fill="auto"/>
          </w:tcPr>
          <w:p w14:paraId="2ACB4EE7" w14:textId="77777777" w:rsidR="00BF6F43" w:rsidRPr="00CA2128" w:rsidRDefault="00BF6F43" w:rsidP="00CA2128">
            <w:pPr>
              <w:spacing w:line="360" w:lineRule="auto"/>
              <w:jc w:val="center"/>
              <w:rPr>
                <w:rFonts w:ascii="Times New Roman" w:hAnsi="Times New Roman" w:cs="Times New Roman"/>
                <w:b/>
              </w:rPr>
            </w:pPr>
            <w:r w:rsidRPr="00CA2128">
              <w:rPr>
                <w:rFonts w:ascii="Times New Roman" w:hAnsi="Times New Roman" w:cs="Times New Roman"/>
                <w:b/>
              </w:rPr>
              <w:t>%</w:t>
            </w:r>
          </w:p>
        </w:tc>
      </w:tr>
      <w:tr w:rsidR="00BF6F43" w:rsidRPr="00CA2128" w14:paraId="230D49DC" w14:textId="77777777" w:rsidTr="005B25D7">
        <w:trPr>
          <w:trHeight w:val="20"/>
          <w:jc w:val="center"/>
        </w:trPr>
        <w:tc>
          <w:tcPr>
            <w:tcW w:w="2376" w:type="dxa"/>
            <w:tcBorders>
              <w:left w:val="nil"/>
              <w:right w:val="nil"/>
            </w:tcBorders>
            <w:shd w:val="clear" w:color="auto" w:fill="auto"/>
            <w:vAlign w:val="center"/>
          </w:tcPr>
          <w:p w14:paraId="6A796675" w14:textId="77777777" w:rsidR="00BF6F43" w:rsidRPr="00CA2128" w:rsidRDefault="00BF6F43" w:rsidP="00CA2128">
            <w:pPr>
              <w:spacing w:line="360" w:lineRule="auto"/>
              <w:jc w:val="both"/>
              <w:rPr>
                <w:rFonts w:ascii="Times New Roman" w:hAnsi="Times New Roman" w:cs="Times New Roman"/>
                <w:b/>
              </w:rPr>
            </w:pPr>
            <w:r w:rsidRPr="00CA2128">
              <w:rPr>
                <w:rFonts w:ascii="Times New Roman" w:hAnsi="Times New Roman" w:cs="Times New Roman"/>
                <w:b/>
              </w:rPr>
              <w:t>Aggregate I</w:t>
            </w:r>
          </w:p>
        </w:tc>
        <w:tc>
          <w:tcPr>
            <w:tcW w:w="1418" w:type="dxa"/>
            <w:tcBorders>
              <w:left w:val="nil"/>
              <w:right w:val="nil"/>
            </w:tcBorders>
            <w:shd w:val="clear" w:color="auto" w:fill="auto"/>
          </w:tcPr>
          <w:p w14:paraId="4E5C8C11"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1,816.18</w:t>
            </w:r>
          </w:p>
        </w:tc>
        <w:tc>
          <w:tcPr>
            <w:tcW w:w="1398" w:type="dxa"/>
            <w:tcBorders>
              <w:left w:val="nil"/>
              <w:right w:val="nil"/>
            </w:tcBorders>
            <w:shd w:val="clear" w:color="auto" w:fill="auto"/>
          </w:tcPr>
          <w:p w14:paraId="4F7641CA"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10.27</w:t>
            </w:r>
          </w:p>
        </w:tc>
        <w:tc>
          <w:tcPr>
            <w:tcW w:w="236" w:type="dxa"/>
            <w:tcBorders>
              <w:left w:val="nil"/>
              <w:right w:val="nil"/>
            </w:tcBorders>
            <w:shd w:val="clear" w:color="auto" w:fill="auto"/>
          </w:tcPr>
          <w:p w14:paraId="06C6C584" w14:textId="77777777" w:rsidR="00BF6F43" w:rsidRPr="00CA2128" w:rsidRDefault="00BF6F43" w:rsidP="00CA2128">
            <w:pPr>
              <w:spacing w:line="360" w:lineRule="auto"/>
              <w:jc w:val="center"/>
              <w:rPr>
                <w:rFonts w:ascii="Times New Roman" w:hAnsi="Times New Roman" w:cs="Times New Roman"/>
              </w:rPr>
            </w:pPr>
          </w:p>
        </w:tc>
        <w:tc>
          <w:tcPr>
            <w:tcW w:w="2055" w:type="dxa"/>
            <w:tcBorders>
              <w:left w:val="nil"/>
              <w:right w:val="nil"/>
            </w:tcBorders>
            <w:shd w:val="clear" w:color="auto" w:fill="auto"/>
          </w:tcPr>
          <w:p w14:paraId="12941858"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12,279.82</w:t>
            </w:r>
          </w:p>
        </w:tc>
        <w:tc>
          <w:tcPr>
            <w:tcW w:w="1309" w:type="dxa"/>
            <w:gridSpan w:val="2"/>
            <w:tcBorders>
              <w:left w:val="nil"/>
              <w:right w:val="nil"/>
            </w:tcBorders>
            <w:shd w:val="clear" w:color="auto" w:fill="auto"/>
          </w:tcPr>
          <w:p w14:paraId="5676B512"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10.81</w:t>
            </w:r>
          </w:p>
        </w:tc>
      </w:tr>
      <w:tr w:rsidR="00BF6F43" w:rsidRPr="00CA2128" w14:paraId="4687B5FA" w14:textId="77777777" w:rsidTr="005B25D7">
        <w:trPr>
          <w:jc w:val="center"/>
        </w:trPr>
        <w:tc>
          <w:tcPr>
            <w:tcW w:w="2376" w:type="dxa"/>
            <w:tcBorders>
              <w:left w:val="nil"/>
              <w:right w:val="nil"/>
            </w:tcBorders>
            <w:shd w:val="clear" w:color="auto" w:fill="auto"/>
          </w:tcPr>
          <w:p w14:paraId="4FD739FD" w14:textId="77777777" w:rsidR="00BF6F43" w:rsidRPr="00CA2128" w:rsidRDefault="00BF6F43" w:rsidP="00CA2128">
            <w:pPr>
              <w:spacing w:line="360" w:lineRule="auto"/>
              <w:jc w:val="both"/>
              <w:rPr>
                <w:rFonts w:ascii="Times New Roman" w:hAnsi="Times New Roman" w:cs="Times New Roman"/>
                <w:b/>
              </w:rPr>
            </w:pPr>
            <w:r w:rsidRPr="00CA2128">
              <w:rPr>
                <w:rFonts w:ascii="Times New Roman" w:hAnsi="Times New Roman" w:cs="Times New Roman"/>
                <w:b/>
              </w:rPr>
              <w:t>Aggregate II</w:t>
            </w:r>
          </w:p>
        </w:tc>
        <w:tc>
          <w:tcPr>
            <w:tcW w:w="1418" w:type="dxa"/>
            <w:tcBorders>
              <w:left w:val="nil"/>
              <w:right w:val="nil"/>
            </w:tcBorders>
            <w:shd w:val="clear" w:color="auto" w:fill="auto"/>
          </w:tcPr>
          <w:p w14:paraId="0ED87A2D"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5,709.41</w:t>
            </w:r>
          </w:p>
        </w:tc>
        <w:tc>
          <w:tcPr>
            <w:tcW w:w="1398" w:type="dxa"/>
            <w:tcBorders>
              <w:left w:val="nil"/>
              <w:right w:val="nil"/>
            </w:tcBorders>
            <w:shd w:val="clear" w:color="auto" w:fill="auto"/>
          </w:tcPr>
          <w:p w14:paraId="21D3CCF8"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32.28</w:t>
            </w:r>
          </w:p>
        </w:tc>
        <w:tc>
          <w:tcPr>
            <w:tcW w:w="236" w:type="dxa"/>
            <w:tcBorders>
              <w:left w:val="nil"/>
              <w:right w:val="nil"/>
            </w:tcBorders>
            <w:shd w:val="clear" w:color="auto" w:fill="auto"/>
          </w:tcPr>
          <w:p w14:paraId="556AF78C" w14:textId="77777777" w:rsidR="00BF6F43" w:rsidRPr="00CA2128" w:rsidRDefault="00BF6F43" w:rsidP="00CA2128">
            <w:pPr>
              <w:spacing w:line="360" w:lineRule="auto"/>
              <w:jc w:val="center"/>
              <w:rPr>
                <w:rFonts w:ascii="Times New Roman" w:hAnsi="Times New Roman" w:cs="Times New Roman"/>
              </w:rPr>
            </w:pPr>
          </w:p>
        </w:tc>
        <w:tc>
          <w:tcPr>
            <w:tcW w:w="2055" w:type="dxa"/>
            <w:tcBorders>
              <w:left w:val="nil"/>
              <w:right w:val="nil"/>
            </w:tcBorders>
            <w:shd w:val="clear" w:color="auto" w:fill="auto"/>
          </w:tcPr>
          <w:p w14:paraId="03A78B35"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34,058.56</w:t>
            </w:r>
          </w:p>
        </w:tc>
        <w:tc>
          <w:tcPr>
            <w:tcW w:w="1309" w:type="dxa"/>
            <w:gridSpan w:val="2"/>
            <w:tcBorders>
              <w:left w:val="nil"/>
              <w:right w:val="nil"/>
            </w:tcBorders>
            <w:shd w:val="clear" w:color="auto" w:fill="auto"/>
          </w:tcPr>
          <w:p w14:paraId="4D941F75"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29.98</w:t>
            </w:r>
          </w:p>
        </w:tc>
      </w:tr>
      <w:tr w:rsidR="00BF6F43" w:rsidRPr="00CA2128" w14:paraId="48F54472" w14:textId="77777777" w:rsidTr="005B25D7">
        <w:trPr>
          <w:jc w:val="center"/>
        </w:trPr>
        <w:tc>
          <w:tcPr>
            <w:tcW w:w="2376" w:type="dxa"/>
            <w:tcBorders>
              <w:left w:val="nil"/>
              <w:right w:val="nil"/>
            </w:tcBorders>
            <w:shd w:val="clear" w:color="auto" w:fill="auto"/>
          </w:tcPr>
          <w:p w14:paraId="5F5D15EE" w14:textId="77777777" w:rsidR="00BF6F43" w:rsidRPr="00CA2128" w:rsidRDefault="00BF6F43" w:rsidP="00CA2128">
            <w:pPr>
              <w:spacing w:line="360" w:lineRule="auto"/>
              <w:jc w:val="both"/>
              <w:rPr>
                <w:rFonts w:ascii="Times New Roman" w:hAnsi="Times New Roman" w:cs="Times New Roman"/>
                <w:b/>
              </w:rPr>
            </w:pPr>
            <w:r w:rsidRPr="00CA2128">
              <w:rPr>
                <w:rFonts w:ascii="Times New Roman" w:hAnsi="Times New Roman" w:cs="Times New Roman"/>
                <w:b/>
              </w:rPr>
              <w:t>Aggregate III</w:t>
            </w:r>
          </w:p>
        </w:tc>
        <w:tc>
          <w:tcPr>
            <w:tcW w:w="1418" w:type="dxa"/>
            <w:tcBorders>
              <w:left w:val="nil"/>
              <w:right w:val="nil"/>
            </w:tcBorders>
            <w:shd w:val="clear" w:color="auto" w:fill="auto"/>
          </w:tcPr>
          <w:p w14:paraId="111F2AB3"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4,759.55</w:t>
            </w:r>
          </w:p>
        </w:tc>
        <w:tc>
          <w:tcPr>
            <w:tcW w:w="1398" w:type="dxa"/>
            <w:tcBorders>
              <w:left w:val="nil"/>
              <w:right w:val="nil"/>
            </w:tcBorders>
            <w:shd w:val="clear" w:color="auto" w:fill="auto"/>
            <w:vAlign w:val="center"/>
          </w:tcPr>
          <w:p w14:paraId="73B5C355"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26.91</w:t>
            </w:r>
          </w:p>
        </w:tc>
        <w:tc>
          <w:tcPr>
            <w:tcW w:w="236" w:type="dxa"/>
            <w:tcBorders>
              <w:left w:val="nil"/>
              <w:right w:val="nil"/>
            </w:tcBorders>
            <w:shd w:val="clear" w:color="auto" w:fill="auto"/>
          </w:tcPr>
          <w:p w14:paraId="1F137776" w14:textId="77777777" w:rsidR="00BF6F43" w:rsidRPr="00CA2128" w:rsidRDefault="00BF6F43" w:rsidP="00CA2128">
            <w:pPr>
              <w:spacing w:line="360" w:lineRule="auto"/>
              <w:jc w:val="center"/>
              <w:rPr>
                <w:rFonts w:ascii="Times New Roman" w:hAnsi="Times New Roman" w:cs="Times New Roman"/>
              </w:rPr>
            </w:pPr>
          </w:p>
        </w:tc>
        <w:tc>
          <w:tcPr>
            <w:tcW w:w="2055" w:type="dxa"/>
            <w:tcBorders>
              <w:left w:val="nil"/>
              <w:right w:val="nil"/>
            </w:tcBorders>
            <w:shd w:val="clear" w:color="auto" w:fill="auto"/>
          </w:tcPr>
          <w:p w14:paraId="48DAACC7"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39,677.98</w:t>
            </w:r>
          </w:p>
        </w:tc>
        <w:tc>
          <w:tcPr>
            <w:tcW w:w="1309" w:type="dxa"/>
            <w:gridSpan w:val="2"/>
            <w:tcBorders>
              <w:left w:val="nil"/>
              <w:right w:val="nil"/>
            </w:tcBorders>
            <w:shd w:val="clear" w:color="auto" w:fill="auto"/>
          </w:tcPr>
          <w:p w14:paraId="08233001"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34.93</w:t>
            </w:r>
          </w:p>
        </w:tc>
      </w:tr>
      <w:tr w:rsidR="00BF6F43" w:rsidRPr="00CA2128" w14:paraId="45EFF2A7" w14:textId="77777777" w:rsidTr="005B25D7">
        <w:trPr>
          <w:jc w:val="center"/>
        </w:trPr>
        <w:tc>
          <w:tcPr>
            <w:tcW w:w="2376" w:type="dxa"/>
            <w:tcBorders>
              <w:left w:val="nil"/>
              <w:right w:val="nil"/>
            </w:tcBorders>
            <w:shd w:val="clear" w:color="auto" w:fill="auto"/>
          </w:tcPr>
          <w:p w14:paraId="044F9818" w14:textId="77777777" w:rsidR="00BF6F43" w:rsidRPr="00CA2128" w:rsidRDefault="00BF6F43" w:rsidP="00CA2128">
            <w:pPr>
              <w:spacing w:line="360" w:lineRule="auto"/>
              <w:jc w:val="both"/>
              <w:rPr>
                <w:rFonts w:ascii="Times New Roman" w:hAnsi="Times New Roman" w:cs="Times New Roman"/>
                <w:b/>
              </w:rPr>
            </w:pPr>
            <w:r w:rsidRPr="00CA2128">
              <w:rPr>
                <w:rFonts w:ascii="Times New Roman" w:hAnsi="Times New Roman" w:cs="Times New Roman"/>
                <w:b/>
              </w:rPr>
              <w:t>Aggregate IV</w:t>
            </w:r>
          </w:p>
        </w:tc>
        <w:tc>
          <w:tcPr>
            <w:tcW w:w="1418" w:type="dxa"/>
            <w:tcBorders>
              <w:left w:val="nil"/>
              <w:right w:val="nil"/>
            </w:tcBorders>
            <w:shd w:val="clear" w:color="auto" w:fill="auto"/>
          </w:tcPr>
          <w:p w14:paraId="7C8A798D"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5,402.02</w:t>
            </w:r>
          </w:p>
        </w:tc>
        <w:tc>
          <w:tcPr>
            <w:tcW w:w="1398" w:type="dxa"/>
            <w:tcBorders>
              <w:left w:val="nil"/>
              <w:right w:val="nil"/>
            </w:tcBorders>
            <w:shd w:val="clear" w:color="auto" w:fill="auto"/>
          </w:tcPr>
          <w:p w14:paraId="67661633"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30.54</w:t>
            </w:r>
          </w:p>
        </w:tc>
        <w:tc>
          <w:tcPr>
            <w:tcW w:w="236" w:type="dxa"/>
            <w:tcBorders>
              <w:left w:val="nil"/>
              <w:right w:val="nil"/>
            </w:tcBorders>
            <w:shd w:val="clear" w:color="auto" w:fill="auto"/>
          </w:tcPr>
          <w:p w14:paraId="526E85A8" w14:textId="77777777" w:rsidR="00BF6F43" w:rsidRPr="00CA2128" w:rsidRDefault="00BF6F43" w:rsidP="00CA2128">
            <w:pPr>
              <w:spacing w:line="360" w:lineRule="auto"/>
              <w:jc w:val="center"/>
              <w:rPr>
                <w:rFonts w:ascii="Times New Roman" w:hAnsi="Times New Roman" w:cs="Times New Roman"/>
              </w:rPr>
            </w:pPr>
          </w:p>
        </w:tc>
        <w:tc>
          <w:tcPr>
            <w:tcW w:w="2055" w:type="dxa"/>
            <w:tcBorders>
              <w:left w:val="nil"/>
              <w:right w:val="nil"/>
            </w:tcBorders>
            <w:shd w:val="clear" w:color="auto" w:fill="auto"/>
          </w:tcPr>
          <w:p w14:paraId="750A63C8"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27,573.18</w:t>
            </w:r>
          </w:p>
        </w:tc>
        <w:tc>
          <w:tcPr>
            <w:tcW w:w="1309" w:type="dxa"/>
            <w:gridSpan w:val="2"/>
            <w:tcBorders>
              <w:left w:val="nil"/>
              <w:right w:val="nil"/>
            </w:tcBorders>
            <w:shd w:val="clear" w:color="auto" w:fill="auto"/>
          </w:tcPr>
          <w:p w14:paraId="2AA2E31F"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24.27</w:t>
            </w:r>
          </w:p>
        </w:tc>
      </w:tr>
      <w:tr w:rsidR="00BF6F43" w:rsidRPr="00CA2128" w14:paraId="5DC05113" w14:textId="77777777" w:rsidTr="005B25D7">
        <w:trPr>
          <w:jc w:val="center"/>
        </w:trPr>
        <w:tc>
          <w:tcPr>
            <w:tcW w:w="2376" w:type="dxa"/>
            <w:tcBorders>
              <w:left w:val="nil"/>
              <w:right w:val="nil"/>
            </w:tcBorders>
            <w:shd w:val="clear" w:color="auto" w:fill="auto"/>
          </w:tcPr>
          <w:p w14:paraId="213CDB11" w14:textId="77777777" w:rsidR="00BF6F43" w:rsidRPr="00CA2128" w:rsidRDefault="00BF6F43" w:rsidP="00CA2128">
            <w:pPr>
              <w:spacing w:line="360" w:lineRule="auto"/>
              <w:jc w:val="both"/>
              <w:rPr>
                <w:rFonts w:ascii="Times New Roman" w:hAnsi="Times New Roman" w:cs="Times New Roman"/>
                <w:b/>
              </w:rPr>
            </w:pPr>
            <w:r w:rsidRPr="00CA2128">
              <w:rPr>
                <w:rFonts w:ascii="Times New Roman" w:hAnsi="Times New Roman" w:cs="Times New Roman"/>
                <w:b/>
              </w:rPr>
              <w:t>Agribusiness GDP*</w:t>
            </w:r>
          </w:p>
        </w:tc>
        <w:tc>
          <w:tcPr>
            <w:tcW w:w="1418" w:type="dxa"/>
            <w:tcBorders>
              <w:left w:val="nil"/>
              <w:right w:val="nil"/>
            </w:tcBorders>
            <w:shd w:val="clear" w:color="auto" w:fill="auto"/>
          </w:tcPr>
          <w:p w14:paraId="36ACF251"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17,687.16</w:t>
            </w:r>
          </w:p>
        </w:tc>
        <w:tc>
          <w:tcPr>
            <w:tcW w:w="1398" w:type="dxa"/>
            <w:tcBorders>
              <w:left w:val="nil"/>
              <w:right w:val="nil"/>
            </w:tcBorders>
            <w:shd w:val="clear" w:color="auto" w:fill="auto"/>
          </w:tcPr>
          <w:p w14:paraId="23D8F0C8"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100.00</w:t>
            </w:r>
          </w:p>
        </w:tc>
        <w:tc>
          <w:tcPr>
            <w:tcW w:w="236" w:type="dxa"/>
            <w:tcBorders>
              <w:left w:val="nil"/>
              <w:right w:val="nil"/>
            </w:tcBorders>
            <w:shd w:val="clear" w:color="auto" w:fill="auto"/>
          </w:tcPr>
          <w:p w14:paraId="5499FCF3" w14:textId="77777777" w:rsidR="00BF6F43" w:rsidRPr="00CA2128" w:rsidRDefault="00BF6F43" w:rsidP="00CA2128">
            <w:pPr>
              <w:spacing w:line="360" w:lineRule="auto"/>
              <w:jc w:val="center"/>
              <w:rPr>
                <w:rFonts w:ascii="Times New Roman" w:hAnsi="Times New Roman" w:cs="Times New Roman"/>
              </w:rPr>
            </w:pPr>
          </w:p>
        </w:tc>
        <w:tc>
          <w:tcPr>
            <w:tcW w:w="2055" w:type="dxa"/>
            <w:tcBorders>
              <w:left w:val="nil"/>
              <w:right w:val="nil"/>
            </w:tcBorders>
            <w:shd w:val="clear" w:color="auto" w:fill="auto"/>
          </w:tcPr>
          <w:p w14:paraId="3289DD61"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113,589.54</w:t>
            </w:r>
          </w:p>
        </w:tc>
        <w:tc>
          <w:tcPr>
            <w:tcW w:w="1309" w:type="dxa"/>
            <w:gridSpan w:val="2"/>
            <w:tcBorders>
              <w:left w:val="nil"/>
              <w:right w:val="nil"/>
            </w:tcBorders>
            <w:shd w:val="clear" w:color="auto" w:fill="auto"/>
          </w:tcPr>
          <w:p w14:paraId="6DFEA9AD"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100.00</w:t>
            </w:r>
          </w:p>
        </w:tc>
      </w:tr>
      <w:tr w:rsidR="00BF6F43" w:rsidRPr="00CA2128" w14:paraId="25E6A3C8" w14:textId="77777777" w:rsidTr="005B25D7">
        <w:trPr>
          <w:jc w:val="center"/>
        </w:trPr>
        <w:tc>
          <w:tcPr>
            <w:tcW w:w="2376" w:type="dxa"/>
            <w:tcBorders>
              <w:left w:val="nil"/>
              <w:right w:val="nil"/>
            </w:tcBorders>
            <w:shd w:val="clear" w:color="auto" w:fill="auto"/>
          </w:tcPr>
          <w:p w14:paraId="35F3303A" w14:textId="77777777" w:rsidR="00BF6F43" w:rsidRPr="00CA2128" w:rsidRDefault="00BF6F43" w:rsidP="00CA2128">
            <w:pPr>
              <w:spacing w:line="360" w:lineRule="auto"/>
              <w:jc w:val="both"/>
              <w:rPr>
                <w:rFonts w:ascii="Times New Roman" w:hAnsi="Times New Roman" w:cs="Times New Roman"/>
                <w:b/>
              </w:rPr>
            </w:pPr>
          </w:p>
        </w:tc>
        <w:tc>
          <w:tcPr>
            <w:tcW w:w="1418" w:type="dxa"/>
            <w:tcBorders>
              <w:left w:val="nil"/>
              <w:right w:val="nil"/>
            </w:tcBorders>
            <w:shd w:val="clear" w:color="auto" w:fill="auto"/>
          </w:tcPr>
          <w:p w14:paraId="4D8DF13E" w14:textId="77777777" w:rsidR="00BF6F43" w:rsidRPr="00CA2128" w:rsidRDefault="00BF6F43" w:rsidP="00CA2128">
            <w:pPr>
              <w:spacing w:line="360" w:lineRule="auto"/>
              <w:jc w:val="center"/>
              <w:rPr>
                <w:rFonts w:ascii="Times New Roman" w:hAnsi="Times New Roman" w:cs="Times New Roman"/>
              </w:rPr>
            </w:pPr>
          </w:p>
        </w:tc>
        <w:tc>
          <w:tcPr>
            <w:tcW w:w="1398" w:type="dxa"/>
            <w:tcBorders>
              <w:left w:val="nil"/>
              <w:right w:val="nil"/>
            </w:tcBorders>
            <w:shd w:val="clear" w:color="auto" w:fill="auto"/>
          </w:tcPr>
          <w:p w14:paraId="596CBF00" w14:textId="77777777" w:rsidR="00BF6F43" w:rsidRPr="00CA2128" w:rsidRDefault="00BF6F43" w:rsidP="00CA2128">
            <w:pPr>
              <w:spacing w:line="360" w:lineRule="auto"/>
              <w:jc w:val="center"/>
              <w:rPr>
                <w:rFonts w:ascii="Times New Roman" w:hAnsi="Times New Roman" w:cs="Times New Roman"/>
              </w:rPr>
            </w:pPr>
          </w:p>
        </w:tc>
        <w:tc>
          <w:tcPr>
            <w:tcW w:w="236" w:type="dxa"/>
            <w:tcBorders>
              <w:left w:val="nil"/>
              <w:right w:val="nil"/>
            </w:tcBorders>
            <w:shd w:val="clear" w:color="auto" w:fill="auto"/>
          </w:tcPr>
          <w:p w14:paraId="3BE836EC" w14:textId="77777777" w:rsidR="00BF6F43" w:rsidRPr="00CA2128" w:rsidRDefault="00BF6F43" w:rsidP="00CA2128">
            <w:pPr>
              <w:spacing w:line="360" w:lineRule="auto"/>
              <w:jc w:val="center"/>
              <w:rPr>
                <w:rFonts w:ascii="Times New Roman" w:hAnsi="Times New Roman" w:cs="Times New Roman"/>
              </w:rPr>
            </w:pPr>
          </w:p>
        </w:tc>
        <w:tc>
          <w:tcPr>
            <w:tcW w:w="2055" w:type="dxa"/>
            <w:tcBorders>
              <w:left w:val="nil"/>
              <w:right w:val="nil"/>
            </w:tcBorders>
            <w:shd w:val="clear" w:color="auto" w:fill="auto"/>
          </w:tcPr>
          <w:p w14:paraId="568FBFFE" w14:textId="77777777" w:rsidR="00BF6F43" w:rsidRPr="00CA2128" w:rsidRDefault="00BF6F43" w:rsidP="00CA2128">
            <w:pPr>
              <w:spacing w:line="360" w:lineRule="auto"/>
              <w:jc w:val="center"/>
              <w:rPr>
                <w:rFonts w:ascii="Times New Roman" w:hAnsi="Times New Roman" w:cs="Times New Roman"/>
              </w:rPr>
            </w:pPr>
          </w:p>
        </w:tc>
        <w:tc>
          <w:tcPr>
            <w:tcW w:w="1309" w:type="dxa"/>
            <w:gridSpan w:val="2"/>
            <w:tcBorders>
              <w:left w:val="nil"/>
              <w:right w:val="nil"/>
            </w:tcBorders>
            <w:shd w:val="clear" w:color="auto" w:fill="auto"/>
          </w:tcPr>
          <w:p w14:paraId="63C55F51" w14:textId="77777777" w:rsidR="00BF6F43" w:rsidRPr="00CA2128" w:rsidRDefault="00BF6F43" w:rsidP="00CA2128">
            <w:pPr>
              <w:spacing w:line="360" w:lineRule="auto"/>
              <w:jc w:val="center"/>
              <w:rPr>
                <w:rFonts w:ascii="Times New Roman" w:hAnsi="Times New Roman" w:cs="Times New Roman"/>
              </w:rPr>
            </w:pPr>
          </w:p>
        </w:tc>
      </w:tr>
      <w:tr w:rsidR="00BF6F43" w:rsidRPr="00CA2128" w14:paraId="1F0C7CF1" w14:textId="77777777" w:rsidTr="005B25D7">
        <w:trPr>
          <w:jc w:val="center"/>
        </w:trPr>
        <w:tc>
          <w:tcPr>
            <w:tcW w:w="2376" w:type="dxa"/>
            <w:tcBorders>
              <w:left w:val="nil"/>
              <w:bottom w:val="single" w:sz="4" w:space="0" w:color="auto"/>
              <w:right w:val="nil"/>
            </w:tcBorders>
            <w:shd w:val="clear" w:color="auto" w:fill="auto"/>
          </w:tcPr>
          <w:p w14:paraId="1C260514" w14:textId="77777777" w:rsidR="00BF6F43" w:rsidRPr="00CA2128" w:rsidRDefault="00BF6F43" w:rsidP="00CA2128">
            <w:pPr>
              <w:spacing w:line="360" w:lineRule="auto"/>
              <w:jc w:val="both"/>
              <w:rPr>
                <w:rFonts w:ascii="Times New Roman" w:hAnsi="Times New Roman" w:cs="Times New Roman"/>
                <w:b/>
              </w:rPr>
            </w:pPr>
            <w:r w:rsidRPr="00CA2128">
              <w:rPr>
                <w:rFonts w:ascii="Times New Roman" w:hAnsi="Times New Roman" w:cs="Times New Roman"/>
                <w:b/>
              </w:rPr>
              <w:t>GDP**</w:t>
            </w:r>
          </w:p>
        </w:tc>
        <w:tc>
          <w:tcPr>
            <w:tcW w:w="1418" w:type="dxa"/>
            <w:tcBorders>
              <w:left w:val="nil"/>
              <w:bottom w:val="single" w:sz="4" w:space="0" w:color="auto"/>
              <w:right w:val="nil"/>
            </w:tcBorders>
            <w:shd w:val="clear" w:color="auto" w:fill="auto"/>
          </w:tcPr>
          <w:p w14:paraId="799D8670"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216,956.91</w:t>
            </w:r>
          </w:p>
        </w:tc>
        <w:tc>
          <w:tcPr>
            <w:tcW w:w="1398" w:type="dxa"/>
            <w:tcBorders>
              <w:left w:val="nil"/>
              <w:bottom w:val="single" w:sz="4" w:space="0" w:color="auto"/>
              <w:right w:val="nil"/>
            </w:tcBorders>
            <w:shd w:val="clear" w:color="auto" w:fill="auto"/>
          </w:tcPr>
          <w:p w14:paraId="2B3B5D0B"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w:t>
            </w:r>
          </w:p>
        </w:tc>
        <w:tc>
          <w:tcPr>
            <w:tcW w:w="236" w:type="dxa"/>
            <w:tcBorders>
              <w:left w:val="nil"/>
              <w:bottom w:val="single" w:sz="4" w:space="0" w:color="auto"/>
              <w:right w:val="nil"/>
            </w:tcBorders>
            <w:shd w:val="clear" w:color="auto" w:fill="auto"/>
          </w:tcPr>
          <w:p w14:paraId="1F6D2745" w14:textId="77777777" w:rsidR="00BF6F43" w:rsidRPr="00CA2128" w:rsidRDefault="00BF6F43" w:rsidP="00CA2128">
            <w:pPr>
              <w:spacing w:line="360" w:lineRule="auto"/>
              <w:jc w:val="center"/>
              <w:rPr>
                <w:rFonts w:ascii="Times New Roman" w:hAnsi="Times New Roman" w:cs="Times New Roman"/>
              </w:rPr>
            </w:pPr>
          </w:p>
        </w:tc>
        <w:tc>
          <w:tcPr>
            <w:tcW w:w="2055" w:type="dxa"/>
            <w:tcBorders>
              <w:left w:val="nil"/>
              <w:bottom w:val="single" w:sz="4" w:space="0" w:color="auto"/>
              <w:right w:val="nil"/>
            </w:tcBorders>
            <w:shd w:val="clear" w:color="auto" w:fill="auto"/>
          </w:tcPr>
          <w:p w14:paraId="3988455A"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1,666,258.00</w:t>
            </w:r>
          </w:p>
        </w:tc>
        <w:tc>
          <w:tcPr>
            <w:tcW w:w="1309" w:type="dxa"/>
            <w:gridSpan w:val="2"/>
            <w:tcBorders>
              <w:left w:val="nil"/>
              <w:bottom w:val="single" w:sz="4" w:space="0" w:color="auto"/>
              <w:right w:val="nil"/>
            </w:tcBorders>
            <w:shd w:val="clear" w:color="auto" w:fill="auto"/>
          </w:tcPr>
          <w:p w14:paraId="3BD96BE1" w14:textId="77777777" w:rsidR="00BF6F43" w:rsidRPr="00CA2128" w:rsidRDefault="00BF6F43" w:rsidP="00CA2128">
            <w:pPr>
              <w:spacing w:line="360" w:lineRule="auto"/>
              <w:jc w:val="center"/>
              <w:rPr>
                <w:rFonts w:ascii="Times New Roman" w:hAnsi="Times New Roman" w:cs="Times New Roman"/>
              </w:rPr>
            </w:pPr>
            <w:r w:rsidRPr="00CA2128">
              <w:rPr>
                <w:rFonts w:ascii="Times New Roman" w:hAnsi="Times New Roman" w:cs="Times New Roman"/>
              </w:rPr>
              <w:t>-</w:t>
            </w:r>
          </w:p>
        </w:tc>
      </w:tr>
      <w:tr w:rsidR="00CB2E4A" w:rsidRPr="00CA2128" w14:paraId="5B847509" w14:textId="77777777" w:rsidTr="005B25D7">
        <w:trPr>
          <w:gridAfter w:val="1"/>
          <w:wAfter w:w="71" w:type="dxa"/>
          <w:jc w:val="center"/>
        </w:trPr>
        <w:tc>
          <w:tcPr>
            <w:tcW w:w="8721" w:type="dxa"/>
            <w:gridSpan w:val="6"/>
            <w:tcBorders>
              <w:left w:val="nil"/>
              <w:bottom w:val="nil"/>
              <w:right w:val="nil"/>
            </w:tcBorders>
            <w:shd w:val="clear" w:color="auto" w:fill="auto"/>
          </w:tcPr>
          <w:p w14:paraId="3D21FA19" w14:textId="77777777" w:rsidR="00CB2E4A" w:rsidRPr="00CA2128" w:rsidRDefault="00CB2E4A" w:rsidP="00CA2128">
            <w:pPr>
              <w:spacing w:line="360" w:lineRule="auto"/>
              <w:jc w:val="both"/>
              <w:rPr>
                <w:rFonts w:ascii="Times New Roman" w:hAnsi="Times New Roman" w:cs="Times New Roman"/>
              </w:rPr>
            </w:pPr>
            <w:r w:rsidRPr="00CA2128">
              <w:rPr>
                <w:rFonts w:ascii="Times New Roman" w:hAnsi="Times New Roman" w:cs="Times New Roman"/>
                <w:b/>
              </w:rPr>
              <w:t>* Source:</w:t>
            </w:r>
            <w:r w:rsidRPr="00CA2128">
              <w:rPr>
                <w:rFonts w:ascii="Times New Roman" w:hAnsi="Times New Roman" w:cs="Times New Roman"/>
              </w:rPr>
              <w:t xml:space="preserve"> Research results</w:t>
            </w:r>
            <w:r w:rsidR="00791571" w:rsidRPr="00CA2128">
              <w:rPr>
                <w:rFonts w:ascii="Times New Roman" w:hAnsi="Times New Roman" w:cs="Times New Roman"/>
              </w:rPr>
              <w:t>.</w:t>
            </w:r>
          </w:p>
        </w:tc>
      </w:tr>
      <w:tr w:rsidR="00CB2E4A" w:rsidRPr="003949D9" w14:paraId="7CF29368" w14:textId="77777777" w:rsidTr="005B25D7">
        <w:trPr>
          <w:gridAfter w:val="1"/>
          <w:wAfter w:w="71" w:type="dxa"/>
          <w:jc w:val="center"/>
        </w:trPr>
        <w:tc>
          <w:tcPr>
            <w:tcW w:w="8721" w:type="dxa"/>
            <w:gridSpan w:val="6"/>
            <w:tcBorders>
              <w:top w:val="nil"/>
              <w:left w:val="nil"/>
              <w:bottom w:val="nil"/>
              <w:right w:val="nil"/>
            </w:tcBorders>
            <w:shd w:val="clear" w:color="auto" w:fill="auto"/>
          </w:tcPr>
          <w:p w14:paraId="038ABFF4" w14:textId="77777777" w:rsidR="00CB2E4A" w:rsidRPr="00CA2128" w:rsidRDefault="00CB2E4A" w:rsidP="00CA2128">
            <w:pPr>
              <w:spacing w:line="360" w:lineRule="auto"/>
              <w:jc w:val="both"/>
              <w:rPr>
                <w:rFonts w:ascii="Times New Roman" w:hAnsi="Times New Roman" w:cs="Times New Roman"/>
                <w:lang w:val="en-US"/>
              </w:rPr>
            </w:pPr>
            <w:r w:rsidRPr="00CA2128">
              <w:rPr>
                <w:rFonts w:ascii="Times New Roman" w:hAnsi="Times New Roman" w:cs="Times New Roman"/>
                <w:b/>
                <w:lang w:val="en-US"/>
              </w:rPr>
              <w:t>** Source:</w:t>
            </w:r>
            <w:r w:rsidRPr="00CA2128">
              <w:rPr>
                <w:rFonts w:ascii="Times New Roman" w:hAnsi="Times New Roman" w:cs="Times New Roman"/>
                <w:lang w:val="en-US"/>
              </w:rPr>
              <w:t xml:space="preserve"> Brazilian Institute of Geography and Statistcs</w:t>
            </w:r>
            <w:r w:rsidR="00791571" w:rsidRPr="00CA2128">
              <w:rPr>
                <w:rFonts w:ascii="Times New Roman" w:hAnsi="Times New Roman" w:cs="Times New Roman"/>
                <w:lang w:val="en-US"/>
              </w:rPr>
              <w:t>.</w:t>
            </w:r>
          </w:p>
        </w:tc>
      </w:tr>
    </w:tbl>
    <w:p w14:paraId="010DFD96" w14:textId="77777777" w:rsidR="00DA5726" w:rsidRDefault="00DA5726" w:rsidP="00ED4EE3">
      <w:pPr>
        <w:spacing w:line="480" w:lineRule="auto"/>
        <w:ind w:firstLine="720"/>
        <w:jc w:val="both"/>
        <w:rPr>
          <w:rFonts w:ascii="Times New Roman" w:hAnsi="Times New Roman" w:cs="Times New Roman"/>
          <w:lang w:val="en-US"/>
        </w:rPr>
      </w:pPr>
    </w:p>
    <w:p w14:paraId="10C62043" w14:textId="77777777" w:rsidR="00FC3D9A" w:rsidRPr="0068656E" w:rsidRDefault="00FC3D9A" w:rsidP="00ED4EE3">
      <w:pPr>
        <w:spacing w:line="480" w:lineRule="auto"/>
        <w:ind w:firstLine="720"/>
        <w:jc w:val="both"/>
        <w:rPr>
          <w:rFonts w:ascii="Times New Roman" w:hAnsi="Times New Roman" w:cs="Times New Roman"/>
          <w:lang w:val="en-US"/>
        </w:rPr>
      </w:pPr>
      <w:r w:rsidRPr="0068656E">
        <w:rPr>
          <w:rFonts w:ascii="Times New Roman" w:hAnsi="Times New Roman" w:cs="Times New Roman"/>
          <w:lang w:val="en-US"/>
        </w:rPr>
        <w:lastRenderedPageBreak/>
        <w:t>In this sense, these results evidenced</w:t>
      </w:r>
      <w:r w:rsidR="00AB66BF" w:rsidRPr="0068656E">
        <w:rPr>
          <w:rFonts w:ascii="Times New Roman" w:hAnsi="Times New Roman" w:cs="Times New Roman"/>
          <w:lang w:val="en-US"/>
        </w:rPr>
        <w:t xml:space="preserve"> that, out of the sectors which does not compound the core activity, the most important are those which are “after the gate”. It is important to mention that these results are also coherent to values found in the Brazilian literature on the determiners of the agribusiness GDP.</w:t>
      </w:r>
    </w:p>
    <w:p w14:paraId="1BD069BC" w14:textId="77777777" w:rsidR="00FC3D9A" w:rsidRPr="0068656E" w:rsidRDefault="00726C25" w:rsidP="00ED4EE3">
      <w:pPr>
        <w:spacing w:line="480" w:lineRule="auto"/>
        <w:jc w:val="both"/>
        <w:rPr>
          <w:rFonts w:ascii="Times New Roman" w:hAnsi="Times New Roman" w:cs="Times New Roman"/>
          <w:lang w:val="en-US"/>
        </w:rPr>
      </w:pPr>
      <w:r>
        <w:rPr>
          <w:rFonts w:ascii="Times New Roman" w:hAnsi="Times New Roman" w:cs="Times New Roman"/>
          <w:lang w:val="en-US"/>
        </w:rPr>
        <w:tab/>
        <w:t>For instance, Neto and Costa (</w:t>
      </w:r>
      <w:r w:rsidR="00AB66BF" w:rsidRPr="0068656E">
        <w:rPr>
          <w:rFonts w:ascii="Times New Roman" w:hAnsi="Times New Roman" w:cs="Times New Roman"/>
          <w:lang w:val="en-US"/>
        </w:rPr>
        <w:t>2005) verified that the activities represented by the downstream segment of the agribusiness sector of Pernambuco represented approximately one third of the ag</w:t>
      </w:r>
      <w:r w:rsidR="004D1319">
        <w:rPr>
          <w:rFonts w:ascii="Times New Roman" w:hAnsi="Times New Roman" w:cs="Times New Roman"/>
          <w:lang w:val="en-US"/>
        </w:rPr>
        <w:t>ribusiness GDP of the state (32.</w:t>
      </w:r>
      <w:r w:rsidR="00AB66BF" w:rsidRPr="0068656E">
        <w:rPr>
          <w:rFonts w:ascii="Times New Roman" w:hAnsi="Times New Roman" w:cs="Times New Roman"/>
          <w:lang w:val="en-US"/>
        </w:rPr>
        <w:t xml:space="preserve">1%). </w:t>
      </w:r>
      <w:r w:rsidR="00EB7CF9" w:rsidRPr="0068656E">
        <w:rPr>
          <w:rFonts w:ascii="Times New Roman" w:hAnsi="Times New Roman" w:cs="Times New Roman"/>
          <w:lang w:val="en-US"/>
        </w:rPr>
        <w:t>Cruz</w:t>
      </w:r>
      <w:r w:rsidR="00D84907">
        <w:rPr>
          <w:rFonts w:ascii="Times New Roman" w:hAnsi="Times New Roman" w:cs="Times New Roman"/>
          <w:lang w:val="en-US"/>
        </w:rPr>
        <w:t xml:space="preserve"> et al.</w:t>
      </w:r>
      <w:r w:rsidR="00EB7CF9" w:rsidRPr="0068656E">
        <w:rPr>
          <w:rFonts w:ascii="Times New Roman" w:hAnsi="Times New Roman" w:cs="Times New Roman"/>
          <w:lang w:val="en-US"/>
        </w:rPr>
        <w:t xml:space="preserve"> (2009) observed that the downstream sectors of the agribusine</w:t>
      </w:r>
      <w:r w:rsidR="004D1319">
        <w:rPr>
          <w:rFonts w:ascii="Times New Roman" w:hAnsi="Times New Roman" w:cs="Times New Roman"/>
          <w:lang w:val="en-US"/>
        </w:rPr>
        <w:t>ss of Minas Gerais responded 51.</w:t>
      </w:r>
      <w:r w:rsidR="00EB7CF9" w:rsidRPr="0068656E">
        <w:rPr>
          <w:rFonts w:ascii="Times New Roman" w:hAnsi="Times New Roman" w:cs="Times New Roman"/>
          <w:lang w:val="en-US"/>
        </w:rPr>
        <w:t>74% (when considered the interstate transactions and importations of the rest of the world in the composi</w:t>
      </w:r>
      <w:r w:rsidR="004D1319">
        <w:rPr>
          <w:rFonts w:ascii="Times New Roman" w:hAnsi="Times New Roman" w:cs="Times New Roman"/>
          <w:lang w:val="en-US"/>
        </w:rPr>
        <w:t>tion of the Aggregate I) and 59.</w:t>
      </w:r>
      <w:r w:rsidR="00EB7CF9" w:rsidRPr="0068656E">
        <w:rPr>
          <w:rFonts w:ascii="Times New Roman" w:hAnsi="Times New Roman" w:cs="Times New Roman"/>
          <w:lang w:val="en-US"/>
        </w:rPr>
        <w:t>77% (when it is not taken into account the interstate transactions and importation of the rest of the world on dimensioning the Aggregate I).</w:t>
      </w:r>
    </w:p>
    <w:p w14:paraId="2575038A" w14:textId="77777777" w:rsidR="00AB66BF" w:rsidRPr="0068656E" w:rsidRDefault="00EB7CF9" w:rsidP="00ED4EE3">
      <w:pPr>
        <w:spacing w:line="480" w:lineRule="auto"/>
        <w:jc w:val="both"/>
        <w:rPr>
          <w:rFonts w:ascii="Times New Roman" w:hAnsi="Times New Roman" w:cs="Times New Roman"/>
          <w:lang w:val="en-US"/>
        </w:rPr>
      </w:pPr>
      <w:r w:rsidRPr="0068656E">
        <w:rPr>
          <w:rFonts w:ascii="Times New Roman" w:hAnsi="Times New Roman" w:cs="Times New Roman"/>
          <w:lang w:val="en-US"/>
        </w:rPr>
        <w:tab/>
        <w:t>In this work</w:t>
      </w:r>
      <w:r w:rsidR="001D7AAD" w:rsidRPr="0068656E">
        <w:rPr>
          <w:rFonts w:ascii="Times New Roman" w:hAnsi="Times New Roman" w:cs="Times New Roman"/>
          <w:lang w:val="en-US"/>
        </w:rPr>
        <w:t xml:space="preserve">, </w:t>
      </w:r>
      <w:r w:rsidR="005B2E84" w:rsidRPr="0068656E">
        <w:rPr>
          <w:rFonts w:ascii="Times New Roman" w:hAnsi="Times New Roman" w:cs="Times New Roman"/>
          <w:lang w:val="en-US"/>
        </w:rPr>
        <w:t>the downstream sectors that stood out from the others at Brazil level was the Aggregate III, with participat</w:t>
      </w:r>
      <w:r w:rsidR="004D1319">
        <w:rPr>
          <w:rFonts w:ascii="Times New Roman" w:hAnsi="Times New Roman" w:cs="Times New Roman"/>
          <w:lang w:val="en-US"/>
        </w:rPr>
        <w:t>ion equal to 34.</w:t>
      </w:r>
      <w:r w:rsidR="005B2E84" w:rsidRPr="0068656E">
        <w:rPr>
          <w:rFonts w:ascii="Times New Roman" w:hAnsi="Times New Roman" w:cs="Times New Roman"/>
          <w:lang w:val="en-US"/>
        </w:rPr>
        <w:t xml:space="preserve">93%, while for the northeast region they were sectors of transport and </w:t>
      </w:r>
      <w:r w:rsidR="004D1319">
        <w:rPr>
          <w:rFonts w:ascii="Times New Roman" w:hAnsi="Times New Roman" w:cs="Times New Roman"/>
          <w:lang w:val="en-US"/>
        </w:rPr>
        <w:t>trade, and service sectors – 30.</w:t>
      </w:r>
      <w:r w:rsidR="005B2E84" w:rsidRPr="0068656E">
        <w:rPr>
          <w:rFonts w:ascii="Times New Roman" w:hAnsi="Times New Roman" w:cs="Times New Roman"/>
          <w:lang w:val="en-US"/>
        </w:rPr>
        <w:t>54%. However, at Northeast level, the aggregate with great representati</w:t>
      </w:r>
      <w:r w:rsidR="004D1319">
        <w:rPr>
          <w:rFonts w:ascii="Times New Roman" w:hAnsi="Times New Roman" w:cs="Times New Roman"/>
          <w:lang w:val="en-US"/>
        </w:rPr>
        <w:t>vity was the core activity – 32.</w:t>
      </w:r>
      <w:r w:rsidR="005B2E84" w:rsidRPr="0068656E">
        <w:rPr>
          <w:rFonts w:ascii="Times New Roman" w:hAnsi="Times New Roman" w:cs="Times New Roman"/>
          <w:lang w:val="en-US"/>
        </w:rPr>
        <w:t>28%.</w:t>
      </w:r>
    </w:p>
    <w:p w14:paraId="151583BD" w14:textId="77777777" w:rsidR="005B2E84" w:rsidRPr="0068656E" w:rsidRDefault="005B2E84" w:rsidP="00ED4EE3">
      <w:pPr>
        <w:jc w:val="both"/>
        <w:rPr>
          <w:rFonts w:ascii="Times New Roman" w:hAnsi="Times New Roman" w:cs="Times New Roman"/>
          <w:lang w:val="en-US"/>
        </w:rPr>
      </w:pPr>
    </w:p>
    <w:p w14:paraId="756BA723" w14:textId="77777777" w:rsidR="00E52ACE" w:rsidRPr="004F5918" w:rsidRDefault="00C30B44" w:rsidP="00ED4EE3">
      <w:pPr>
        <w:spacing w:line="480" w:lineRule="auto"/>
        <w:jc w:val="both"/>
        <w:rPr>
          <w:rFonts w:ascii="Times New Roman" w:hAnsi="Times New Roman" w:cs="Times New Roman"/>
          <w:b/>
          <w:lang w:val="en-US"/>
        </w:rPr>
      </w:pPr>
      <w:r w:rsidRPr="004F5918">
        <w:rPr>
          <w:rFonts w:ascii="Times New Roman" w:hAnsi="Times New Roman" w:cs="Times New Roman"/>
          <w:b/>
          <w:lang w:val="en-US"/>
        </w:rPr>
        <w:t>6 Final remarks</w:t>
      </w:r>
    </w:p>
    <w:p w14:paraId="3DF7D81F" w14:textId="77777777" w:rsidR="00261F31" w:rsidRDefault="00C30B44" w:rsidP="00261F31">
      <w:pPr>
        <w:pStyle w:val="NormalWeb"/>
        <w:spacing w:line="480" w:lineRule="auto"/>
        <w:jc w:val="both"/>
        <w:rPr>
          <w:lang w:val="en-US"/>
        </w:rPr>
      </w:pPr>
      <w:r w:rsidRPr="004F5918">
        <w:rPr>
          <w:lang w:val="en-US"/>
        </w:rPr>
        <w:tab/>
      </w:r>
      <w:r w:rsidRPr="0068656E">
        <w:rPr>
          <w:lang w:val="en-US"/>
        </w:rPr>
        <w:t>The results reported in this work showed that the participation of the sugar and alcohol sector in the Northeast, in the composition of the GDP of this s</w:t>
      </w:r>
      <w:r w:rsidR="004D1319">
        <w:rPr>
          <w:lang w:val="en-US"/>
        </w:rPr>
        <w:t>ector at national level, was 15.</w:t>
      </w:r>
      <w:r w:rsidRPr="0068656E">
        <w:rPr>
          <w:lang w:val="en-US"/>
        </w:rPr>
        <w:t xml:space="preserve">57%. For Brazil, the agro industries were the sector with great representativity in the quantification of the sugar and alcohol gross domestic product, while for the Northeast region, the Aggregate II had the biggest fraction. In this sense, public politics directed to this sectors that focus on raising up the income generated by this activity should be concentrated on this aggregates. Through the results obtained, it is </w:t>
      </w:r>
      <w:r w:rsidRPr="0068656E">
        <w:rPr>
          <w:lang w:val="en-US"/>
        </w:rPr>
        <w:lastRenderedPageBreak/>
        <w:t>possible to infer that the gross domestic product of agribusiness in those specific areas is significantly larger than those calculated through the traditional methodology of classification. That is because the agro-livestock GDP for Brazil and North</w:t>
      </w:r>
      <w:r w:rsidR="004D1319">
        <w:rPr>
          <w:lang w:val="en-US"/>
        </w:rPr>
        <w:t>east totalized, respectively, 6.91% and 9.</w:t>
      </w:r>
      <w:r w:rsidRPr="0068656E">
        <w:rPr>
          <w:lang w:val="en-US"/>
        </w:rPr>
        <w:t>21%. However, only the GPD of the sugar</w:t>
      </w:r>
      <w:r w:rsidR="004D1319">
        <w:rPr>
          <w:lang w:val="en-US"/>
        </w:rPr>
        <w:t xml:space="preserve"> and alcohol sector totalized 6.</w:t>
      </w:r>
      <w:r w:rsidRPr="0068656E">
        <w:rPr>
          <w:lang w:val="en-US"/>
        </w:rPr>
        <w:t>82% (Brazil) and 9</w:t>
      </w:r>
      <w:r w:rsidR="004D1319">
        <w:rPr>
          <w:lang w:val="en-US"/>
        </w:rPr>
        <w:t>.</w:t>
      </w:r>
      <w:r w:rsidRPr="0068656E">
        <w:rPr>
          <w:lang w:val="en-US"/>
        </w:rPr>
        <w:t xml:space="preserve">15% (Northeast). In other words, the non-consideration of </w:t>
      </w:r>
      <w:r w:rsidR="006440DF" w:rsidRPr="0068656E">
        <w:rPr>
          <w:lang w:val="en-US"/>
        </w:rPr>
        <w:t xml:space="preserve">upstream and downstream </w:t>
      </w:r>
      <w:r w:rsidRPr="0068656E">
        <w:rPr>
          <w:lang w:val="en-US"/>
        </w:rPr>
        <w:t>segments in agro-livestock GDP underestimate the importance of this sector in the Brazilian economy</w:t>
      </w:r>
      <w:r w:rsidR="006440DF" w:rsidRPr="0068656E">
        <w:rPr>
          <w:lang w:val="en-US"/>
        </w:rPr>
        <w:t xml:space="preserve"> which has contributed for successive surpluses in Brazil’s trade balance in recent years.</w:t>
      </w:r>
    </w:p>
    <w:p w14:paraId="4D262E85" w14:textId="77777777" w:rsidR="00D951DB" w:rsidRPr="00A306BD" w:rsidRDefault="00D6556C" w:rsidP="00261F31">
      <w:pPr>
        <w:pStyle w:val="NormalWeb"/>
        <w:spacing w:line="480" w:lineRule="auto"/>
        <w:jc w:val="both"/>
        <w:rPr>
          <w:b/>
        </w:rPr>
      </w:pPr>
      <w:r w:rsidRPr="00A306BD">
        <w:rPr>
          <w:b/>
        </w:rPr>
        <w:t>References</w:t>
      </w:r>
      <w:r w:rsidR="00D951DB" w:rsidRPr="00A306BD">
        <w:rPr>
          <w:b/>
        </w:rPr>
        <w:t xml:space="preserve"> </w:t>
      </w:r>
    </w:p>
    <w:p w14:paraId="4CD370F8" w14:textId="77777777" w:rsidR="009B08CB" w:rsidRDefault="009B08CB" w:rsidP="00150C2E">
      <w:pPr>
        <w:pStyle w:val="NormalWeb"/>
        <w:ind w:left="480" w:hanging="480"/>
        <w:jc w:val="both"/>
      </w:pPr>
      <w:r>
        <w:t xml:space="preserve">Araújo Neto, D. L. de, and Costa, E. de F. 2005. Dimensionamento do PIB do agronegócio em Pernambuco. </w:t>
      </w:r>
      <w:r>
        <w:rPr>
          <w:i/>
          <w:iCs/>
        </w:rPr>
        <w:t xml:space="preserve">Revista de Economia </w:t>
      </w:r>
      <w:r w:rsidR="006962C0">
        <w:rPr>
          <w:i/>
          <w:iCs/>
        </w:rPr>
        <w:t>e</w:t>
      </w:r>
      <w:r>
        <w:rPr>
          <w:i/>
          <w:iCs/>
        </w:rPr>
        <w:t xml:space="preserve"> Sociologia Rural</w:t>
      </w:r>
      <w:r>
        <w:t xml:space="preserve">, </w:t>
      </w:r>
      <w:r>
        <w:rPr>
          <w:i/>
          <w:iCs/>
        </w:rPr>
        <w:t>43</w:t>
      </w:r>
      <w:r>
        <w:t>(4): 725–757. doi.org/10.1590/S0103-20032005000400006</w:t>
      </w:r>
    </w:p>
    <w:p w14:paraId="66A1ACF6" w14:textId="77777777" w:rsidR="009B08CB" w:rsidRDefault="009B08CB" w:rsidP="00150C2E">
      <w:pPr>
        <w:pStyle w:val="NormalWeb"/>
        <w:ind w:left="480" w:hanging="480"/>
        <w:jc w:val="both"/>
      </w:pPr>
      <w:r w:rsidRPr="004F5918">
        <w:t xml:space="preserve">Araújo, N., Wedekin, I., and Pinazza, L. 1990. </w:t>
      </w:r>
      <w:r>
        <w:t xml:space="preserve">Complexo agroindustrial: o agribusiness brasileiro. </w:t>
      </w:r>
      <w:r>
        <w:rPr>
          <w:i/>
          <w:iCs/>
        </w:rPr>
        <w:t>São Paulo: Agroceres</w:t>
      </w:r>
      <w:r>
        <w:t>, 343–524.</w:t>
      </w:r>
    </w:p>
    <w:p w14:paraId="63755586" w14:textId="77777777" w:rsidR="009B08CB" w:rsidRPr="004F5918" w:rsidRDefault="009B08CB" w:rsidP="00150C2E">
      <w:pPr>
        <w:pStyle w:val="NormalWeb"/>
        <w:ind w:left="480" w:hanging="480"/>
        <w:jc w:val="both"/>
        <w:rPr>
          <w:lang w:val="en-US"/>
        </w:rPr>
      </w:pPr>
      <w:r>
        <w:t xml:space="preserve">Bacha, C. J. C., and Rocha, M. T. 1998. O comportamento da agropecuária brasileira no período 1987 a 1996. </w:t>
      </w:r>
      <w:r w:rsidRPr="004F5918">
        <w:rPr>
          <w:lang w:val="en-US"/>
        </w:rPr>
        <w:t>Revista de Economia e Sociologia Rural, 36(1): 35-59.</w:t>
      </w:r>
    </w:p>
    <w:p w14:paraId="275ECEB2" w14:textId="77777777" w:rsidR="009B08CB" w:rsidRPr="004F5918" w:rsidRDefault="009B08CB" w:rsidP="00150C2E">
      <w:pPr>
        <w:pStyle w:val="NormalWeb"/>
        <w:ind w:left="480" w:hanging="480"/>
        <w:jc w:val="both"/>
      </w:pPr>
      <w:r w:rsidRPr="004F5918">
        <w:rPr>
          <w:lang w:val="en-US"/>
        </w:rPr>
        <w:t xml:space="preserve">Bulmer-Thomas, V. 1982. </w:t>
      </w:r>
      <w:r w:rsidRPr="00D951DB">
        <w:rPr>
          <w:i/>
          <w:iCs/>
          <w:lang w:val="en-US"/>
        </w:rPr>
        <w:t>Input-output analysis in developing countries sources, methods and applications</w:t>
      </w:r>
      <w:r w:rsidRPr="00D951DB">
        <w:rPr>
          <w:lang w:val="en-US"/>
        </w:rPr>
        <w:t xml:space="preserve">. </w:t>
      </w:r>
      <w:r w:rsidRPr="004F5918">
        <w:t>New York: Wiley.</w:t>
      </w:r>
    </w:p>
    <w:p w14:paraId="7B2C5468" w14:textId="77777777" w:rsidR="009B08CB" w:rsidRDefault="009B08CB" w:rsidP="00150C2E">
      <w:pPr>
        <w:pStyle w:val="NormalWeb"/>
        <w:ind w:left="480" w:hanging="480"/>
        <w:jc w:val="both"/>
      </w:pPr>
      <w:r>
        <w:t xml:space="preserve">Costa, E. de F., Araújo Júnior, I. T. de, Bezerra, J. F., and Melo, M. V. 2005. Matriz de insumo-produto de Pernambuco para 1999: metodologia de cálculo e subsídios ao planejamento regional. </w:t>
      </w:r>
      <w:r>
        <w:rPr>
          <w:i/>
          <w:iCs/>
        </w:rPr>
        <w:t>Economia Aplicada</w:t>
      </w:r>
      <w:r>
        <w:t xml:space="preserve">, </w:t>
      </w:r>
      <w:r>
        <w:rPr>
          <w:i/>
          <w:iCs/>
        </w:rPr>
        <w:t>9</w:t>
      </w:r>
      <w:r>
        <w:t>(4): 595–621. doi.org/10.1590/S1413-80502005000400005</w:t>
      </w:r>
    </w:p>
    <w:p w14:paraId="6EAF2080" w14:textId="77777777" w:rsidR="009B08CB" w:rsidRDefault="009B08CB" w:rsidP="00150C2E">
      <w:pPr>
        <w:pStyle w:val="NormalWeb"/>
        <w:ind w:left="480" w:hanging="480"/>
        <w:jc w:val="both"/>
      </w:pPr>
      <w:r>
        <w:t xml:space="preserve">Cruz, A. C. da, Teixeira, E. C., and Gomes, M. F. M. 2009. O PIB do agronegócio no estado de Minas Gerais: uma análise insumo-produto. </w:t>
      </w:r>
      <w:r>
        <w:rPr>
          <w:i/>
          <w:iCs/>
        </w:rPr>
        <w:t>Revista de Economia E Sociologia Rural</w:t>
      </w:r>
      <w:r>
        <w:t xml:space="preserve">, </w:t>
      </w:r>
      <w:r>
        <w:rPr>
          <w:i/>
          <w:iCs/>
        </w:rPr>
        <w:t>47</w:t>
      </w:r>
      <w:r>
        <w:t>(4): 805–830. doi.org/10.1590/S0103-20032009000400001</w:t>
      </w:r>
    </w:p>
    <w:p w14:paraId="4F7EBF1E" w14:textId="77777777" w:rsidR="009B08CB" w:rsidRDefault="009B08CB" w:rsidP="00150C2E">
      <w:pPr>
        <w:pStyle w:val="NormalWeb"/>
        <w:ind w:left="480" w:hanging="480"/>
        <w:jc w:val="both"/>
      </w:pPr>
      <w:r w:rsidRPr="004F5918">
        <w:t xml:space="preserve">Feijó, F., and Alvim, A. 2010. </w:t>
      </w:r>
      <w:r>
        <w:t xml:space="preserve">Impactos econômicos para o Brasil de um choque tecnológico na produção de etanol. </w:t>
      </w:r>
      <w:r>
        <w:rPr>
          <w:i/>
          <w:iCs/>
        </w:rPr>
        <w:t>Economia, Brasília</w:t>
      </w:r>
      <w:r>
        <w:t xml:space="preserve">, </w:t>
      </w:r>
      <w:r>
        <w:rPr>
          <w:i/>
          <w:iCs/>
        </w:rPr>
        <w:t>11</w:t>
      </w:r>
      <w:r>
        <w:t>(3): 691–710.</w:t>
      </w:r>
    </w:p>
    <w:p w14:paraId="4C76BC09" w14:textId="77777777" w:rsidR="009B08CB" w:rsidRDefault="009B08CB" w:rsidP="00150C2E">
      <w:pPr>
        <w:pStyle w:val="NormalWeb"/>
        <w:ind w:left="480" w:hanging="480"/>
        <w:jc w:val="both"/>
      </w:pPr>
      <w:r>
        <w:t xml:space="preserve">Finamore, E., and Montoya, M. 2015. Dimensão econômica do complexo lácteo gaúcho. </w:t>
      </w:r>
      <w:r>
        <w:rPr>
          <w:i/>
          <w:iCs/>
        </w:rPr>
        <w:t>Revista de Economia e Agronegócio</w:t>
      </w:r>
      <w:r>
        <w:t xml:space="preserve">, </w:t>
      </w:r>
      <w:r>
        <w:rPr>
          <w:i/>
          <w:iCs/>
        </w:rPr>
        <w:t>3</w:t>
      </w:r>
      <w:r>
        <w:t>(2): 213–250.</w:t>
      </w:r>
    </w:p>
    <w:p w14:paraId="021892D2" w14:textId="77777777" w:rsidR="009B08CB" w:rsidRPr="004F5918" w:rsidRDefault="009B08CB" w:rsidP="00150C2E">
      <w:pPr>
        <w:pStyle w:val="NormalWeb"/>
        <w:ind w:left="480" w:hanging="480"/>
        <w:jc w:val="both"/>
        <w:rPr>
          <w:lang w:val="en-US"/>
        </w:rPr>
      </w:pPr>
      <w:r>
        <w:lastRenderedPageBreak/>
        <w:t xml:space="preserve">Furtuoso, M., and Guilhoto, J. 2003. Estimativa e mensuração do Produto Interno Bruto do agronegócio da economia brasileira, 1994 a 2000. </w:t>
      </w:r>
      <w:r w:rsidRPr="004F5918">
        <w:rPr>
          <w:i/>
          <w:lang w:val="en-US"/>
        </w:rPr>
        <w:t xml:space="preserve">Revista </w:t>
      </w:r>
      <w:r w:rsidRPr="004F5918">
        <w:rPr>
          <w:lang w:val="en-US"/>
        </w:rPr>
        <w:t>d</w:t>
      </w:r>
      <w:r w:rsidRPr="004F5918">
        <w:rPr>
          <w:i/>
          <w:iCs/>
          <w:lang w:val="en-US"/>
        </w:rPr>
        <w:t>e Economia e Sociologia Rural</w:t>
      </w:r>
      <w:r w:rsidRPr="004F5918">
        <w:rPr>
          <w:lang w:val="en-US"/>
        </w:rPr>
        <w:t>, 41(4): 803-827.</w:t>
      </w:r>
    </w:p>
    <w:p w14:paraId="03C524D6" w14:textId="77777777" w:rsidR="009B08CB" w:rsidRPr="009B08CB" w:rsidRDefault="009B08CB" w:rsidP="004A389D">
      <w:pPr>
        <w:pStyle w:val="NormalWeb"/>
        <w:ind w:left="480" w:hanging="480"/>
        <w:jc w:val="both"/>
        <w:rPr>
          <w:lang w:val="en-US"/>
        </w:rPr>
      </w:pPr>
      <w:r w:rsidRPr="004A389D">
        <w:rPr>
          <w:lang w:val="en-US"/>
        </w:rPr>
        <w:t xml:space="preserve">Gallagher, P., Schamel, G., Shapouri, H., </w:t>
      </w:r>
      <w:r>
        <w:rPr>
          <w:lang w:val="en-US"/>
        </w:rPr>
        <w:t>and</w:t>
      </w:r>
      <w:r w:rsidRPr="004A389D">
        <w:rPr>
          <w:lang w:val="en-US"/>
        </w:rPr>
        <w:t xml:space="preserve"> Brubaker, H. 2006. The International Competitiveness of the U.S. Corn-Ethanol Industry: A Comparison with Sugar-Ethanol Processing in Brazil. </w:t>
      </w:r>
      <w:r w:rsidRPr="009B08CB">
        <w:rPr>
          <w:i/>
          <w:iCs/>
          <w:lang w:val="en-US"/>
        </w:rPr>
        <w:t>Agribusiness</w:t>
      </w:r>
      <w:r w:rsidRPr="009B08CB">
        <w:rPr>
          <w:lang w:val="en-US"/>
        </w:rPr>
        <w:t xml:space="preserve">, </w:t>
      </w:r>
      <w:r w:rsidRPr="009B08CB">
        <w:rPr>
          <w:i/>
          <w:iCs/>
          <w:lang w:val="en-US"/>
        </w:rPr>
        <w:t>22</w:t>
      </w:r>
      <w:r w:rsidRPr="009B08CB">
        <w:rPr>
          <w:lang w:val="en-US"/>
        </w:rPr>
        <w:t>(1): 109–134. doi.org/10.1002/agr.20072</w:t>
      </w:r>
    </w:p>
    <w:p w14:paraId="3D22CF1B" w14:textId="77777777" w:rsidR="009B08CB" w:rsidRPr="00D951DB" w:rsidRDefault="009B08CB" w:rsidP="00150C2E">
      <w:pPr>
        <w:pStyle w:val="NormalWeb"/>
        <w:ind w:left="480" w:hanging="480"/>
        <w:jc w:val="both"/>
        <w:rPr>
          <w:lang w:val="en-US"/>
        </w:rPr>
      </w:pPr>
      <w:r w:rsidRPr="00990411">
        <w:rPr>
          <w:lang w:val="en-US"/>
        </w:rPr>
        <w:t xml:space="preserve">Goldberg Ray A. and Davis John H. 1957. </w:t>
      </w:r>
      <w:r w:rsidRPr="004F5918">
        <w:rPr>
          <w:lang w:val="en-US"/>
        </w:rPr>
        <w:t xml:space="preserve">A Concept of Agribusiness. </w:t>
      </w:r>
      <w:r w:rsidRPr="00CB0639">
        <w:rPr>
          <w:i/>
          <w:iCs/>
          <w:lang w:val="en-US"/>
        </w:rPr>
        <w:t>Amer</w:t>
      </w:r>
      <w:r>
        <w:rPr>
          <w:i/>
          <w:iCs/>
          <w:lang w:val="en-US"/>
        </w:rPr>
        <w:t>i</w:t>
      </w:r>
      <w:r w:rsidRPr="00CB0639">
        <w:rPr>
          <w:i/>
          <w:iCs/>
          <w:lang w:val="en-US"/>
        </w:rPr>
        <w:t>can Journal of Agricultural Economics</w:t>
      </w:r>
      <w:r w:rsidRPr="00CB0639">
        <w:rPr>
          <w:lang w:val="en-US"/>
        </w:rPr>
        <w:t xml:space="preserve">, </w:t>
      </w:r>
      <w:r w:rsidRPr="008F45F2">
        <w:rPr>
          <w:iCs/>
          <w:lang w:val="en-US"/>
        </w:rPr>
        <w:t>22</w:t>
      </w:r>
      <w:r>
        <w:rPr>
          <w:lang w:val="en-US"/>
        </w:rPr>
        <w:t>:</w:t>
      </w:r>
      <w:r w:rsidRPr="00CB0639">
        <w:rPr>
          <w:lang w:val="en-US"/>
        </w:rPr>
        <w:t xml:space="preserve"> 221–222</w:t>
      </w:r>
      <w:r w:rsidRPr="00D951DB">
        <w:rPr>
          <w:lang w:val="en-US"/>
        </w:rPr>
        <w:t>. doi.org/10.2307/1247221</w:t>
      </w:r>
    </w:p>
    <w:p w14:paraId="7B701377" w14:textId="77777777" w:rsidR="009B08CB" w:rsidRPr="00043D75" w:rsidRDefault="009B08CB" w:rsidP="00150C2E">
      <w:pPr>
        <w:pStyle w:val="NormalWeb"/>
        <w:ind w:left="480" w:hanging="480"/>
        <w:jc w:val="both"/>
        <w:rPr>
          <w:lang w:val="en-US"/>
        </w:rPr>
      </w:pPr>
      <w:r>
        <w:t xml:space="preserve">Guilhoto, J., Assumpção, M., Modolo, D., and Imori, D. 2007. O PIB do Agronegócio no Brasil e no Estado da Bahia. </w:t>
      </w:r>
      <w:r w:rsidRPr="00043D75">
        <w:rPr>
          <w:lang w:val="en-US"/>
        </w:rPr>
        <w:t>Available at: &lt;https://mpra.ub.uni-muenchen.de/31515/</w:t>
      </w:r>
      <w:r>
        <w:rPr>
          <w:lang w:val="en-US"/>
        </w:rPr>
        <w:t>&gt; Accessed on: Aug. 23, 2013.</w:t>
      </w:r>
    </w:p>
    <w:p w14:paraId="15A7B6E4" w14:textId="77777777" w:rsidR="009B08CB" w:rsidRPr="004F0B2A" w:rsidRDefault="009B08CB" w:rsidP="00150C2E">
      <w:pPr>
        <w:pStyle w:val="NormalWeb"/>
        <w:ind w:left="480" w:hanging="480"/>
        <w:jc w:val="both"/>
      </w:pPr>
      <w:r>
        <w:t xml:space="preserve">Guilhoto, J., Furtuoso, M., and Barros, G. de C. 2000. O agronegócio na economia brasileira 1994 a 1999. </w:t>
      </w:r>
      <w:r w:rsidRPr="004F0B2A">
        <w:t>CEPEA, 2000.</w:t>
      </w:r>
    </w:p>
    <w:p w14:paraId="5E2009A4" w14:textId="77777777" w:rsidR="009B08CB" w:rsidRDefault="009B08CB" w:rsidP="00150C2E">
      <w:pPr>
        <w:pStyle w:val="NormalWeb"/>
        <w:ind w:left="480" w:hanging="480"/>
        <w:jc w:val="both"/>
      </w:pPr>
      <w:r>
        <w:t xml:space="preserve">Guilhoto, J., Silveira, F. G., Ichihara, S. M., and Azzoni, C. R. 2003. A importância do agronegócio familiar no Brasil. </w:t>
      </w:r>
      <w:r>
        <w:rPr>
          <w:i/>
          <w:iCs/>
        </w:rPr>
        <w:t>Revista de Economia e Sociologia Rural</w:t>
      </w:r>
      <w:r>
        <w:t xml:space="preserve">, </w:t>
      </w:r>
      <w:r>
        <w:rPr>
          <w:i/>
          <w:iCs/>
        </w:rPr>
        <w:t>44</w:t>
      </w:r>
      <w:r>
        <w:t>(3): 355–382. doi.org/10.1590/S0103-20032006000300002</w:t>
      </w:r>
    </w:p>
    <w:p w14:paraId="0E1EB6FE" w14:textId="77777777" w:rsidR="009B08CB" w:rsidRPr="003E7251" w:rsidRDefault="009B08CB" w:rsidP="00150C2E">
      <w:pPr>
        <w:pStyle w:val="NormalWeb"/>
        <w:ind w:left="480" w:hanging="480"/>
        <w:jc w:val="both"/>
        <w:rPr>
          <w:lang w:val="en-US"/>
        </w:rPr>
      </w:pPr>
      <w:r>
        <w:t xml:space="preserve">Guilhoto, J., Silveira, F., Azzoni, C., and Ichihara, S. 2005. O PIB do agronegócio familiar no Rio Grande do Sul. </w:t>
      </w:r>
      <w:r w:rsidRPr="003E7251">
        <w:rPr>
          <w:lang w:val="en-US"/>
        </w:rPr>
        <w:t>Available at: &lt;https://mpra.ub.uni-muenchen.de/38309/&gt; Accessed on: Oct</w:t>
      </w:r>
      <w:r>
        <w:rPr>
          <w:lang w:val="en-US"/>
        </w:rPr>
        <w:t>. 28, 2013.</w:t>
      </w:r>
    </w:p>
    <w:p w14:paraId="4B5EDCA7" w14:textId="77777777" w:rsidR="009B08CB" w:rsidRPr="00D951DB" w:rsidRDefault="009B08CB" w:rsidP="00150C2E">
      <w:pPr>
        <w:pStyle w:val="NormalWeb"/>
        <w:ind w:left="480" w:hanging="480"/>
        <w:jc w:val="both"/>
        <w:rPr>
          <w:lang w:val="en-US"/>
        </w:rPr>
      </w:pPr>
      <w:r w:rsidRPr="00D951DB">
        <w:rPr>
          <w:lang w:val="en-US"/>
        </w:rPr>
        <w:t xml:space="preserve">Guilhoto, J., Sonis, M., </w:t>
      </w:r>
      <w:r>
        <w:rPr>
          <w:lang w:val="en-US"/>
        </w:rPr>
        <w:t xml:space="preserve">and Hewings, G. </w:t>
      </w:r>
      <w:r w:rsidRPr="00D951DB">
        <w:rPr>
          <w:lang w:val="en-US"/>
        </w:rPr>
        <w:t xml:space="preserve">2005. Linkages and multipliers in a multiregional framework: integration of alternative approaches. </w:t>
      </w:r>
      <w:r>
        <w:rPr>
          <w:lang w:val="en-US"/>
        </w:rPr>
        <w:t xml:space="preserve">In </w:t>
      </w:r>
      <w:r w:rsidRPr="00D951DB">
        <w:rPr>
          <w:i/>
          <w:iCs/>
          <w:lang w:val="en-US"/>
        </w:rPr>
        <w:t>Proceedings of the Forty-Third</w:t>
      </w:r>
      <w:r>
        <w:rPr>
          <w:i/>
          <w:iCs/>
          <w:lang w:val="en-US"/>
        </w:rPr>
        <w:t xml:space="preserve"> North American Meeting of the Regional Science Association International</w:t>
      </w:r>
      <w:r w:rsidRPr="00D951DB">
        <w:rPr>
          <w:lang w:val="en-US"/>
        </w:rPr>
        <w:t>.</w:t>
      </w:r>
      <w:r>
        <w:rPr>
          <w:lang w:val="en-US"/>
        </w:rPr>
        <w:t xml:space="preserve"> Washington, D. C., USA, 14.</w:t>
      </w:r>
    </w:p>
    <w:p w14:paraId="1143DD38" w14:textId="77777777" w:rsidR="009B08CB" w:rsidRPr="00222971" w:rsidRDefault="009B08CB" w:rsidP="00150C2E">
      <w:pPr>
        <w:pStyle w:val="NormalWeb"/>
        <w:ind w:left="480" w:hanging="480"/>
        <w:jc w:val="both"/>
        <w:rPr>
          <w:lang w:val="en-US"/>
        </w:rPr>
      </w:pPr>
      <w:r w:rsidRPr="00D951DB">
        <w:rPr>
          <w:lang w:val="en-US"/>
        </w:rPr>
        <w:t xml:space="preserve">Looker, D. 2009. Ethanol Future Remains Cloudy After EPA Delay. </w:t>
      </w:r>
      <w:r w:rsidRPr="00D951DB">
        <w:rPr>
          <w:i/>
          <w:iCs/>
          <w:lang w:val="en-US"/>
        </w:rPr>
        <w:t>Journal of Agribusiness</w:t>
      </w:r>
      <w:r w:rsidRPr="00D951DB">
        <w:rPr>
          <w:lang w:val="en-US"/>
        </w:rPr>
        <w:t xml:space="preserve">. </w:t>
      </w:r>
      <w:r>
        <w:rPr>
          <w:lang w:val="en-US"/>
        </w:rPr>
        <w:t>27(1/2): 137-138. Available at: &lt;</w:t>
      </w:r>
      <w:r w:rsidRPr="00222971">
        <w:rPr>
          <w:lang w:val="en-US"/>
        </w:rPr>
        <w:t xml:space="preserve">http://purl.umn.edu/90662&gt; Accessed on: Aug. </w:t>
      </w:r>
      <w:r>
        <w:rPr>
          <w:lang w:val="en-US"/>
        </w:rPr>
        <w:t>23, 2013.</w:t>
      </w:r>
    </w:p>
    <w:p w14:paraId="738A6C0E" w14:textId="77777777" w:rsidR="009B08CB" w:rsidRPr="00D951DB" w:rsidRDefault="009B08CB" w:rsidP="00150C2E">
      <w:pPr>
        <w:pStyle w:val="NormalWeb"/>
        <w:ind w:left="480" w:hanging="480"/>
        <w:jc w:val="both"/>
        <w:rPr>
          <w:lang w:val="en-US"/>
        </w:rPr>
      </w:pPr>
      <w:r w:rsidRPr="00E02E59">
        <w:rPr>
          <w:lang w:val="en-US"/>
        </w:rPr>
        <w:t xml:space="preserve">Martinez-Mejia, </w:t>
      </w:r>
      <w:r w:rsidRPr="00603EA4">
        <w:rPr>
          <w:lang w:val="en-US"/>
        </w:rPr>
        <w:t>P., and Malaga, J. 2</w:t>
      </w:r>
      <w:r w:rsidRPr="00222971">
        <w:rPr>
          <w:lang w:val="en-US"/>
        </w:rPr>
        <w:t xml:space="preserve">009. </w:t>
      </w:r>
      <w:r w:rsidRPr="00D951DB">
        <w:rPr>
          <w:lang w:val="en-US"/>
        </w:rPr>
        <w:t xml:space="preserve">The Effect of Ethanol Production on Coarse Grains: New Price Relationships. </w:t>
      </w:r>
      <w:r w:rsidRPr="00D951DB">
        <w:rPr>
          <w:i/>
          <w:iCs/>
          <w:lang w:val="en-US"/>
        </w:rPr>
        <w:t>Journal of Agribusiness</w:t>
      </w:r>
      <w:r>
        <w:rPr>
          <w:lang w:val="en-US"/>
        </w:rPr>
        <w:t>. 27(1/2): 15-33. Availabel at: &lt;</w:t>
      </w:r>
      <w:r w:rsidRPr="009B08CB">
        <w:rPr>
          <w:lang w:val="en-US"/>
        </w:rPr>
        <w:t>http://purl.umn.edu/90656&gt; Accessed on: Sep. 09, 2013.</w:t>
      </w:r>
    </w:p>
    <w:p w14:paraId="20605690" w14:textId="77777777" w:rsidR="009B08CB" w:rsidRPr="005B7EBF" w:rsidRDefault="009B08CB" w:rsidP="00150C2E">
      <w:pPr>
        <w:pStyle w:val="NormalWeb"/>
        <w:ind w:left="480" w:hanging="480"/>
        <w:jc w:val="both"/>
        <w:rPr>
          <w:lang w:val="en-US"/>
        </w:rPr>
      </w:pPr>
      <w:r w:rsidRPr="00992867">
        <w:rPr>
          <w:lang w:val="en-US"/>
        </w:rPr>
        <w:t xml:space="preserve">Miller, R., and Blair, P. 2009. </w:t>
      </w:r>
      <w:r w:rsidRPr="00992867">
        <w:rPr>
          <w:i/>
          <w:iCs/>
          <w:lang w:val="en-US"/>
        </w:rPr>
        <w:t>Input - Output Analysis: Foundations and Extensions</w:t>
      </w:r>
      <w:r w:rsidRPr="00992867">
        <w:rPr>
          <w:lang w:val="en-US"/>
        </w:rPr>
        <w:t xml:space="preserve">. </w:t>
      </w:r>
      <w:r w:rsidRPr="005B7EBF">
        <w:rPr>
          <w:lang w:val="en-US"/>
        </w:rPr>
        <w:t>Cambrigde University Press.</w:t>
      </w:r>
    </w:p>
    <w:p w14:paraId="2AE5A75C" w14:textId="77777777" w:rsidR="009B08CB" w:rsidRPr="004F5918" w:rsidRDefault="009B08CB" w:rsidP="00150C2E">
      <w:pPr>
        <w:pStyle w:val="NormalWeb"/>
        <w:ind w:left="480" w:hanging="480"/>
        <w:jc w:val="both"/>
      </w:pPr>
      <w:r w:rsidRPr="005B7EBF">
        <w:rPr>
          <w:lang w:val="en-US"/>
        </w:rPr>
        <w:t xml:space="preserve">Montoya, M. A., and Finamore, E. B. 2001. </w:t>
      </w:r>
      <w:r>
        <w:t xml:space="preserve">Evolução do PIB do agronegócio brasileiro de 1959 a 1995: uma estimativa na ótica do valor adicionado. </w:t>
      </w:r>
      <w:r w:rsidRPr="004F5918">
        <w:rPr>
          <w:i/>
          <w:iCs/>
        </w:rPr>
        <w:t>Teoria e Evidência Econômica</w:t>
      </w:r>
      <w:r w:rsidRPr="004F5918">
        <w:t xml:space="preserve">, </w:t>
      </w:r>
      <w:r w:rsidRPr="004F5918">
        <w:rPr>
          <w:i/>
          <w:iCs/>
        </w:rPr>
        <w:t>9</w:t>
      </w:r>
      <w:r w:rsidRPr="004F5918">
        <w:t>(16): 9–24.</w:t>
      </w:r>
    </w:p>
    <w:p w14:paraId="47522E1E" w14:textId="77777777" w:rsidR="009B08CB" w:rsidRDefault="009B08CB" w:rsidP="00150C2E">
      <w:pPr>
        <w:pStyle w:val="NormalWeb"/>
        <w:ind w:left="480" w:hanging="480"/>
        <w:jc w:val="both"/>
      </w:pPr>
      <w:r>
        <w:t xml:space="preserve">Porsse, A. A. 2003. Notas metodológicas sobre o dimensionamento do PIB do agronegócio do Rio Grande do Sul. </w:t>
      </w:r>
      <w:r>
        <w:rPr>
          <w:i/>
          <w:iCs/>
        </w:rPr>
        <w:t>Secretaria da Coordenação E Planejamento, Fundação de Estatística Siegfried Emanuel Heuser</w:t>
      </w:r>
      <w:r>
        <w:t>, (55).</w:t>
      </w:r>
    </w:p>
    <w:p w14:paraId="36C0097E" w14:textId="77777777" w:rsidR="009B08CB" w:rsidRPr="004F5918" w:rsidRDefault="009B08CB" w:rsidP="00150C2E">
      <w:pPr>
        <w:pStyle w:val="NormalWeb"/>
        <w:ind w:left="480" w:hanging="480"/>
        <w:jc w:val="both"/>
      </w:pPr>
      <w:r w:rsidRPr="00D951DB">
        <w:rPr>
          <w:lang w:val="en-US"/>
        </w:rPr>
        <w:lastRenderedPageBreak/>
        <w:t xml:space="preserve">Streeter, D., Sonka, S., </w:t>
      </w:r>
      <w:r>
        <w:rPr>
          <w:lang w:val="en-US"/>
        </w:rPr>
        <w:t>and</w:t>
      </w:r>
      <w:r w:rsidRPr="00D951DB">
        <w:rPr>
          <w:lang w:val="en-US"/>
        </w:rPr>
        <w:t xml:space="preserve"> Hudson, M. 1991. Information technology, coordination, and competitiveness in the food and agribusiness sector. </w:t>
      </w:r>
      <w:r w:rsidRPr="004F5918">
        <w:rPr>
          <w:i/>
          <w:iCs/>
        </w:rPr>
        <w:t>American Journal of Agricultural</w:t>
      </w:r>
      <w:r w:rsidRPr="004F5918">
        <w:t>, 73(5): 1465-1471.</w:t>
      </w:r>
    </w:p>
    <w:p w14:paraId="00390364" w14:textId="77777777" w:rsidR="009B08CB" w:rsidRDefault="009B08CB" w:rsidP="004A389D">
      <w:pPr>
        <w:pStyle w:val="NormalWeb"/>
        <w:ind w:left="480" w:hanging="480"/>
      </w:pPr>
      <w:r>
        <w:t xml:space="preserve">Tolmasquim, M. 2007. Plano Nacional de energia 2030. </w:t>
      </w:r>
      <w:r>
        <w:rPr>
          <w:i/>
          <w:iCs/>
        </w:rPr>
        <w:t>Conselho Nacional de Política Energética</w:t>
      </w:r>
      <w:r>
        <w:t>.</w:t>
      </w:r>
      <w:r w:rsidRPr="004A389D">
        <w:t xml:space="preserve"> </w:t>
      </w:r>
    </w:p>
    <w:p w14:paraId="2643B3ED" w14:textId="77777777" w:rsidR="00060A64" w:rsidRPr="00D951DB" w:rsidRDefault="00060A64" w:rsidP="00232BD9">
      <w:pPr>
        <w:pStyle w:val="NormalWeb"/>
        <w:ind w:left="480" w:hanging="480"/>
        <w:jc w:val="both"/>
      </w:pPr>
    </w:p>
    <w:sectPr w:rsidR="00060A64" w:rsidRPr="00D951DB" w:rsidSect="0068656E">
      <w:pgSz w:w="11906" w:h="16838"/>
      <w:pgMar w:top="1418" w:right="1418" w:bottom="1418" w:left="1985" w:header="720" w:footer="720" w:gutter="0"/>
      <w:cols w:space="72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3FA71" w14:textId="77777777" w:rsidR="003949D9" w:rsidRDefault="003949D9" w:rsidP="00FE7A29">
      <w:pPr>
        <w:rPr>
          <w:rFonts w:hint="eastAsia"/>
        </w:rPr>
      </w:pPr>
      <w:r>
        <w:separator/>
      </w:r>
    </w:p>
  </w:endnote>
  <w:endnote w:type="continuationSeparator" w:id="0">
    <w:p w14:paraId="088B8A69" w14:textId="77777777" w:rsidR="003949D9" w:rsidRDefault="003949D9" w:rsidP="00FE7A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F7690" w14:textId="77777777" w:rsidR="003949D9" w:rsidRDefault="003949D9" w:rsidP="00FE7A29">
      <w:pPr>
        <w:rPr>
          <w:rFonts w:hint="eastAsia"/>
        </w:rPr>
      </w:pPr>
      <w:r>
        <w:separator/>
      </w:r>
    </w:p>
  </w:footnote>
  <w:footnote w:type="continuationSeparator" w:id="0">
    <w:p w14:paraId="1EA42258" w14:textId="77777777" w:rsidR="003949D9" w:rsidRDefault="003949D9" w:rsidP="00FE7A29">
      <w:pPr>
        <w:rPr>
          <w:rFonts w:hint="eastAsia"/>
        </w:rPr>
      </w:pPr>
      <w:r>
        <w:continuationSeparator/>
      </w:r>
    </w:p>
  </w:footnote>
  <w:footnote w:id="1">
    <w:p w14:paraId="19C64E02" w14:textId="77777777" w:rsidR="003949D9" w:rsidRPr="00FE7A29" w:rsidRDefault="003949D9">
      <w:pPr>
        <w:pStyle w:val="Textodenotaderodap"/>
        <w:rPr>
          <w:rFonts w:hint="eastAsia"/>
          <w:lang w:val="en-US"/>
        </w:rPr>
      </w:pPr>
      <w:r>
        <w:rPr>
          <w:rStyle w:val="Refdenotaderodap"/>
          <w:rFonts w:hint="eastAsia"/>
        </w:rPr>
        <w:footnoteRef/>
      </w:r>
      <w:r w:rsidRPr="00FE7A29">
        <w:rPr>
          <w:rFonts w:hint="eastAsia"/>
          <w:lang w:val="en-US"/>
        </w:rPr>
        <w:t xml:space="preserve"> </w:t>
      </w:r>
      <w:r w:rsidRPr="00FE7A29">
        <w:rPr>
          <w:rFonts w:ascii="Times New Roman" w:hAnsi="Times New Roman" w:cs="Times New Roman"/>
          <w:lang w:val="en-US"/>
        </w:rPr>
        <w:t>On the full production, importation, taxes, income, added value and so on.</w:t>
      </w:r>
    </w:p>
  </w:footnote>
  <w:footnote w:id="2">
    <w:p w14:paraId="67AB5381" w14:textId="77777777" w:rsidR="003949D9" w:rsidRPr="00FE7A29" w:rsidRDefault="003949D9">
      <w:pPr>
        <w:pStyle w:val="Textodenotaderodap"/>
        <w:rPr>
          <w:rFonts w:hint="eastAsia"/>
          <w:lang w:val="en-US"/>
        </w:rPr>
      </w:pPr>
      <w:r>
        <w:rPr>
          <w:rStyle w:val="Refdenotaderodap"/>
          <w:rFonts w:hint="eastAsia"/>
        </w:rPr>
        <w:footnoteRef/>
      </w:r>
      <w:r w:rsidRPr="00FE7A29">
        <w:rPr>
          <w:rFonts w:hint="eastAsia"/>
          <w:lang w:val="en-US"/>
        </w:rPr>
        <w:t xml:space="preserve"> </w:t>
      </w:r>
      <w:r w:rsidRPr="00FE7A29">
        <w:rPr>
          <w:rFonts w:ascii="Times New Roman" w:hAnsi="Times New Roman" w:cs="Times New Roman"/>
          <w:lang w:val="en-US"/>
        </w:rPr>
        <w:t>Consumption of families, government spending, investments, exportations.</w:t>
      </w:r>
    </w:p>
  </w:footnote>
  <w:footnote w:id="3">
    <w:p w14:paraId="32AF5F38" w14:textId="77777777" w:rsidR="003949D9" w:rsidRPr="007B17C2" w:rsidRDefault="003949D9">
      <w:pPr>
        <w:pStyle w:val="Textodenotaderodap"/>
        <w:rPr>
          <w:rFonts w:hint="eastAsia"/>
          <w:lang w:val="en-US"/>
        </w:rPr>
      </w:pPr>
      <w:r>
        <w:rPr>
          <w:rStyle w:val="Refdenotaderodap"/>
          <w:rFonts w:hint="eastAsia"/>
        </w:rPr>
        <w:footnoteRef/>
      </w:r>
      <w:r w:rsidRPr="007B17C2">
        <w:rPr>
          <w:rFonts w:hint="eastAsia"/>
          <w:lang w:val="en-US"/>
        </w:rPr>
        <w:t xml:space="preserve"> </w:t>
      </w:r>
      <w:r w:rsidRPr="007B17C2">
        <w:rPr>
          <w:rFonts w:ascii="Times New Roman" w:hAnsi="Times New Roman" w:cs="Times New Roman"/>
          <w:lang w:val="en-US"/>
        </w:rPr>
        <w:t>Open input-output model implies that the final demand is the exogenous part on dimensioning the level of the product, while the closed model is at least one of the components of the final demand and also the endogenous part what consequently impacts on the final production level.</w:t>
      </w:r>
    </w:p>
  </w:footnote>
  <w:footnote w:id="4">
    <w:p w14:paraId="0CE4BBA4" w14:textId="77777777" w:rsidR="003949D9" w:rsidRPr="00627E1D" w:rsidRDefault="003949D9">
      <w:pPr>
        <w:pStyle w:val="Textodenotaderodap"/>
        <w:rPr>
          <w:rFonts w:hint="eastAsia"/>
          <w:lang w:val="en-US"/>
        </w:rPr>
      </w:pPr>
      <w:r>
        <w:rPr>
          <w:rStyle w:val="Refdenotaderodap"/>
          <w:rFonts w:hint="eastAsia"/>
        </w:rPr>
        <w:footnoteRef/>
      </w:r>
      <w:r w:rsidRPr="00627E1D">
        <w:rPr>
          <w:rFonts w:hint="eastAsia"/>
          <w:lang w:val="en-US"/>
        </w:rPr>
        <w:t xml:space="preserve"> </w:t>
      </w:r>
      <w:r w:rsidRPr="00627E1D">
        <w:rPr>
          <w:rFonts w:ascii="Times New Roman" w:hAnsi="Times New Roman" w:cs="Times New Roman"/>
          <w:lang w:val="en-US"/>
        </w:rPr>
        <w:t>Assuming returns are constant in scale and the use of inputs in fixed proportions, the matrix’s columns of direct coefficients A characterize as a technological structure of the correspondent sector.</w:t>
      </w:r>
    </w:p>
  </w:footnote>
  <w:footnote w:id="5">
    <w:p w14:paraId="3DFF4351" w14:textId="77777777" w:rsidR="003949D9" w:rsidRPr="00786B50" w:rsidRDefault="003949D9">
      <w:pPr>
        <w:pStyle w:val="Textodenotaderodap"/>
        <w:rPr>
          <w:rFonts w:hint="eastAsia"/>
          <w:lang w:val="en-US"/>
        </w:rPr>
      </w:pPr>
      <w:r>
        <w:rPr>
          <w:rStyle w:val="Refdenotaderodap"/>
          <w:rFonts w:hint="eastAsia"/>
        </w:rPr>
        <w:footnoteRef/>
      </w:r>
      <w:r w:rsidRPr="00786B50">
        <w:rPr>
          <w:rFonts w:hint="eastAsia"/>
          <w:lang w:val="en-US"/>
        </w:rPr>
        <w:t xml:space="preserve"> </w:t>
      </w:r>
      <w:r>
        <w:rPr>
          <w:lang w:val="en-US"/>
        </w:rPr>
        <w:t>T</w:t>
      </w:r>
      <w:r w:rsidRPr="00786B50">
        <w:rPr>
          <w:rFonts w:ascii="Times New Roman" w:hAnsi="Times New Roman" w:cs="Times New Roman"/>
          <w:lang w:val="en-US"/>
        </w:rPr>
        <w:t>his matrix is denominated as global effects matrix or as inverse matrix of Leontief.</w:t>
      </w:r>
    </w:p>
  </w:footnote>
  <w:footnote w:id="6">
    <w:p w14:paraId="04C651DF" w14:textId="77777777" w:rsidR="003949D9" w:rsidRPr="00881E77" w:rsidRDefault="003949D9">
      <w:pPr>
        <w:pStyle w:val="Textodenotaderodap"/>
        <w:rPr>
          <w:rFonts w:hint="eastAsia"/>
          <w:lang w:val="en-US"/>
        </w:rPr>
      </w:pPr>
      <w:r>
        <w:rPr>
          <w:rStyle w:val="Refdenotaderodap"/>
          <w:rFonts w:hint="eastAsia"/>
        </w:rPr>
        <w:footnoteRef/>
      </w:r>
      <w:r w:rsidRPr="00881E77">
        <w:rPr>
          <w:rFonts w:hint="eastAsia"/>
          <w:lang w:val="en-US"/>
        </w:rPr>
        <w:t xml:space="preserve"> </w:t>
      </w:r>
      <w:r w:rsidRPr="00881E77">
        <w:rPr>
          <w:rFonts w:ascii="Times New Roman" w:hAnsi="Times New Roman" w:cs="Times New Roman"/>
          <w:color w:val="212121"/>
          <w:sz w:val="24"/>
          <w:szCs w:val="24"/>
          <w:lang w:val="en"/>
        </w:rPr>
        <w:t>Another factor relates to the convenience of working under this perspective</w:t>
      </w:r>
      <w:r>
        <w:rPr>
          <w:rFonts w:ascii="Times New Roman" w:hAnsi="Times New Roman" w:cs="Times New Roman"/>
          <w:color w:val="212121"/>
          <w:sz w:val="24"/>
          <w:szCs w:val="24"/>
          <w:lang w:val="en"/>
        </w:rPr>
        <w:t>.</w:t>
      </w:r>
    </w:p>
  </w:footnote>
  <w:footnote w:id="7">
    <w:p w14:paraId="473F8A83" w14:textId="77777777" w:rsidR="003949D9" w:rsidRPr="00216768" w:rsidRDefault="003949D9">
      <w:pPr>
        <w:pStyle w:val="Textodenotaderodap"/>
        <w:rPr>
          <w:rFonts w:hint="eastAsia"/>
          <w:lang w:val="en-US"/>
        </w:rPr>
      </w:pPr>
      <w:r>
        <w:rPr>
          <w:rStyle w:val="Refdenotaderodap"/>
          <w:rFonts w:hint="eastAsia"/>
        </w:rPr>
        <w:footnoteRef/>
      </w:r>
      <w:r w:rsidRPr="00216768">
        <w:rPr>
          <w:rFonts w:hint="eastAsia"/>
          <w:lang w:val="en-US"/>
        </w:rPr>
        <w:t xml:space="preserve"> </w:t>
      </w:r>
      <w:r>
        <w:rPr>
          <w:lang w:val="en"/>
        </w:rPr>
        <w:t>Since the value added of some inputs and capital goods used in the agricultural sector have been recorded in the aggregate I dimensioning.</w:t>
      </w:r>
    </w:p>
  </w:footnote>
  <w:footnote w:id="8">
    <w:p w14:paraId="6BB1ADC3" w14:textId="77777777" w:rsidR="003949D9" w:rsidRPr="00AB15EC" w:rsidRDefault="003949D9">
      <w:pPr>
        <w:pStyle w:val="Textodenotaderodap"/>
        <w:rPr>
          <w:rFonts w:hint="eastAsia"/>
          <w:lang w:val="en-US"/>
        </w:rPr>
      </w:pPr>
      <w:r>
        <w:rPr>
          <w:rStyle w:val="Refdenotaderodap"/>
          <w:rFonts w:hint="eastAsia"/>
        </w:rPr>
        <w:footnoteRef/>
      </w:r>
      <w:r w:rsidRPr="00AB15EC">
        <w:rPr>
          <w:rFonts w:hint="eastAsia"/>
          <w:lang w:val="en-US"/>
        </w:rPr>
        <w:t xml:space="preserve"> </w:t>
      </w:r>
      <w:r>
        <w:rPr>
          <w:rFonts w:ascii="Times New Roman" w:hAnsi="Times New Roman" w:cs="Times New Roman"/>
          <w:lang w:val="en-US"/>
        </w:rPr>
        <w:t>G</w:t>
      </w:r>
      <w:r w:rsidRPr="00AB15EC">
        <w:rPr>
          <w:rFonts w:ascii="Times New Roman" w:hAnsi="Times New Roman" w:cs="Times New Roman"/>
          <w:lang w:val="en-US"/>
        </w:rPr>
        <w:t>F</w:t>
      </w:r>
      <w:r>
        <w:rPr>
          <w:rFonts w:ascii="Times New Roman" w:hAnsi="Times New Roman" w:cs="Times New Roman"/>
          <w:lang w:val="en-US"/>
        </w:rPr>
        <w:t>D</w:t>
      </w:r>
      <w:r w:rsidRPr="00AB15EC">
        <w:rPr>
          <w:rFonts w:ascii="Times New Roman" w:hAnsi="Times New Roman" w:cs="Times New Roman"/>
          <w:lang w:val="en-US"/>
        </w:rPr>
        <w:t>P include net taxes consumed by investors, by exportations to the rest of the world and Brazil, by the inventory variation, and by the government and families (Cruz</w:t>
      </w:r>
      <w:r>
        <w:rPr>
          <w:rFonts w:ascii="Times New Roman" w:hAnsi="Times New Roman" w:cs="Times New Roman"/>
          <w:lang w:val="en-US"/>
        </w:rPr>
        <w:t xml:space="preserve"> et al.</w:t>
      </w:r>
      <w:r w:rsidRPr="00AB15EC">
        <w:rPr>
          <w:rFonts w:ascii="Times New Roman" w:hAnsi="Times New Roman" w:cs="Times New Roman"/>
          <w:lang w:val="en-US"/>
        </w:rPr>
        <w:t xml:space="preserve"> 2009, p. 820).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4079"/>
    <w:multiLevelType w:val="hybridMultilevel"/>
    <w:tmpl w:val="DBAACC00"/>
    <w:lvl w:ilvl="0" w:tplc="04160017">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CC71FE"/>
    <w:multiLevelType w:val="hybridMultilevel"/>
    <w:tmpl w:val="6E788538"/>
    <w:lvl w:ilvl="0" w:tplc="7E0CFE38">
      <w:start w:val="100"/>
      <w:numFmt w:val="bullet"/>
      <w:lvlText w:val=""/>
      <w:lvlJc w:val="left"/>
      <w:pPr>
        <w:ind w:left="720" w:hanging="360"/>
      </w:pPr>
      <w:rPr>
        <w:rFonts w:ascii="Symbol" w:eastAsia="SimSu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C7"/>
    <w:rsid w:val="0002416E"/>
    <w:rsid w:val="000337F8"/>
    <w:rsid w:val="00043D75"/>
    <w:rsid w:val="00044D44"/>
    <w:rsid w:val="000510BF"/>
    <w:rsid w:val="000545A2"/>
    <w:rsid w:val="00060A64"/>
    <w:rsid w:val="00061B68"/>
    <w:rsid w:val="00074669"/>
    <w:rsid w:val="00091F62"/>
    <w:rsid w:val="00096D47"/>
    <w:rsid w:val="000A04D5"/>
    <w:rsid w:val="000A729D"/>
    <w:rsid w:val="000C33CE"/>
    <w:rsid w:val="000D406D"/>
    <w:rsid w:val="000E1325"/>
    <w:rsid w:val="000F3A37"/>
    <w:rsid w:val="000F45A0"/>
    <w:rsid w:val="00100FEA"/>
    <w:rsid w:val="00127C08"/>
    <w:rsid w:val="0013537B"/>
    <w:rsid w:val="001444D3"/>
    <w:rsid w:val="00150C2E"/>
    <w:rsid w:val="0015616B"/>
    <w:rsid w:val="00170AC7"/>
    <w:rsid w:val="00175B91"/>
    <w:rsid w:val="001775AC"/>
    <w:rsid w:val="00183F33"/>
    <w:rsid w:val="00191694"/>
    <w:rsid w:val="001A5046"/>
    <w:rsid w:val="001A550E"/>
    <w:rsid w:val="001B17B6"/>
    <w:rsid w:val="001D6688"/>
    <w:rsid w:val="001D702F"/>
    <w:rsid w:val="001D7AAD"/>
    <w:rsid w:val="001F4531"/>
    <w:rsid w:val="001F576D"/>
    <w:rsid w:val="001F6617"/>
    <w:rsid w:val="001F6F30"/>
    <w:rsid w:val="00212C55"/>
    <w:rsid w:val="00214BA8"/>
    <w:rsid w:val="00216768"/>
    <w:rsid w:val="00222971"/>
    <w:rsid w:val="00232BD9"/>
    <w:rsid w:val="00233DA7"/>
    <w:rsid w:val="002433C4"/>
    <w:rsid w:val="002444A4"/>
    <w:rsid w:val="00261F31"/>
    <w:rsid w:val="00275697"/>
    <w:rsid w:val="002759A1"/>
    <w:rsid w:val="00295B8B"/>
    <w:rsid w:val="002B22C3"/>
    <w:rsid w:val="002B4F56"/>
    <w:rsid w:val="002C10EB"/>
    <w:rsid w:val="002C2E83"/>
    <w:rsid w:val="002F792A"/>
    <w:rsid w:val="002F7EDA"/>
    <w:rsid w:val="003167AD"/>
    <w:rsid w:val="003340B8"/>
    <w:rsid w:val="00356A26"/>
    <w:rsid w:val="003630F1"/>
    <w:rsid w:val="00363DF5"/>
    <w:rsid w:val="00370621"/>
    <w:rsid w:val="003751A3"/>
    <w:rsid w:val="00384EB0"/>
    <w:rsid w:val="003949D9"/>
    <w:rsid w:val="003A5858"/>
    <w:rsid w:val="003C6375"/>
    <w:rsid w:val="003E7251"/>
    <w:rsid w:val="003F05C4"/>
    <w:rsid w:val="00405832"/>
    <w:rsid w:val="004259B7"/>
    <w:rsid w:val="0043380C"/>
    <w:rsid w:val="004427B7"/>
    <w:rsid w:val="004518AA"/>
    <w:rsid w:val="00453011"/>
    <w:rsid w:val="0046221F"/>
    <w:rsid w:val="004715AF"/>
    <w:rsid w:val="004735D4"/>
    <w:rsid w:val="00474698"/>
    <w:rsid w:val="00481410"/>
    <w:rsid w:val="00485C63"/>
    <w:rsid w:val="00491E54"/>
    <w:rsid w:val="004953BA"/>
    <w:rsid w:val="004A389D"/>
    <w:rsid w:val="004B51E6"/>
    <w:rsid w:val="004B63EF"/>
    <w:rsid w:val="004D1319"/>
    <w:rsid w:val="004F0B2A"/>
    <w:rsid w:val="004F5918"/>
    <w:rsid w:val="00506D33"/>
    <w:rsid w:val="00507148"/>
    <w:rsid w:val="0052059C"/>
    <w:rsid w:val="005210D6"/>
    <w:rsid w:val="0053386E"/>
    <w:rsid w:val="005543C8"/>
    <w:rsid w:val="005556B1"/>
    <w:rsid w:val="0056138C"/>
    <w:rsid w:val="005656C4"/>
    <w:rsid w:val="005804A0"/>
    <w:rsid w:val="0059278C"/>
    <w:rsid w:val="005B25D7"/>
    <w:rsid w:val="005B2E84"/>
    <w:rsid w:val="005B7EBF"/>
    <w:rsid w:val="005D5751"/>
    <w:rsid w:val="005E7A97"/>
    <w:rsid w:val="00603EA4"/>
    <w:rsid w:val="00627E1D"/>
    <w:rsid w:val="00630B4E"/>
    <w:rsid w:val="006440DF"/>
    <w:rsid w:val="006568FA"/>
    <w:rsid w:val="0066216B"/>
    <w:rsid w:val="0067446C"/>
    <w:rsid w:val="0068021F"/>
    <w:rsid w:val="006836C2"/>
    <w:rsid w:val="0068656E"/>
    <w:rsid w:val="0069489F"/>
    <w:rsid w:val="006962C0"/>
    <w:rsid w:val="00697081"/>
    <w:rsid w:val="006B43BF"/>
    <w:rsid w:val="006B73DB"/>
    <w:rsid w:val="006C01E9"/>
    <w:rsid w:val="006D1F5A"/>
    <w:rsid w:val="00703CC3"/>
    <w:rsid w:val="0071142B"/>
    <w:rsid w:val="00711969"/>
    <w:rsid w:val="00713BB4"/>
    <w:rsid w:val="00726C25"/>
    <w:rsid w:val="007711C1"/>
    <w:rsid w:val="007746DB"/>
    <w:rsid w:val="00776E9C"/>
    <w:rsid w:val="00786B50"/>
    <w:rsid w:val="00791571"/>
    <w:rsid w:val="007A30BE"/>
    <w:rsid w:val="007A6579"/>
    <w:rsid w:val="007B17C2"/>
    <w:rsid w:val="007D3C84"/>
    <w:rsid w:val="007D4740"/>
    <w:rsid w:val="007D487F"/>
    <w:rsid w:val="007E1582"/>
    <w:rsid w:val="007E7A66"/>
    <w:rsid w:val="007F7F39"/>
    <w:rsid w:val="00811F02"/>
    <w:rsid w:val="00825737"/>
    <w:rsid w:val="00825949"/>
    <w:rsid w:val="00864E0A"/>
    <w:rsid w:val="0087277B"/>
    <w:rsid w:val="008762BF"/>
    <w:rsid w:val="00881E77"/>
    <w:rsid w:val="00891B6C"/>
    <w:rsid w:val="00894985"/>
    <w:rsid w:val="00897751"/>
    <w:rsid w:val="008B43CA"/>
    <w:rsid w:val="008B5181"/>
    <w:rsid w:val="008D0D54"/>
    <w:rsid w:val="008D5B25"/>
    <w:rsid w:val="008D5C67"/>
    <w:rsid w:val="008D68E8"/>
    <w:rsid w:val="008E2EB6"/>
    <w:rsid w:val="008E7967"/>
    <w:rsid w:val="008F45F2"/>
    <w:rsid w:val="00901AAA"/>
    <w:rsid w:val="00924873"/>
    <w:rsid w:val="00941139"/>
    <w:rsid w:val="00944869"/>
    <w:rsid w:val="00967ABD"/>
    <w:rsid w:val="00970618"/>
    <w:rsid w:val="00990411"/>
    <w:rsid w:val="00992867"/>
    <w:rsid w:val="009975B9"/>
    <w:rsid w:val="009B08CB"/>
    <w:rsid w:val="009B1517"/>
    <w:rsid w:val="009C0997"/>
    <w:rsid w:val="009E386B"/>
    <w:rsid w:val="009E68BE"/>
    <w:rsid w:val="00A01756"/>
    <w:rsid w:val="00A02C55"/>
    <w:rsid w:val="00A14FFD"/>
    <w:rsid w:val="00A16220"/>
    <w:rsid w:val="00A306BD"/>
    <w:rsid w:val="00A35C14"/>
    <w:rsid w:val="00A51911"/>
    <w:rsid w:val="00A80971"/>
    <w:rsid w:val="00AA7B92"/>
    <w:rsid w:val="00AB15EC"/>
    <w:rsid w:val="00AB66BF"/>
    <w:rsid w:val="00AC1AB7"/>
    <w:rsid w:val="00AC71F2"/>
    <w:rsid w:val="00AE276A"/>
    <w:rsid w:val="00AE402E"/>
    <w:rsid w:val="00AE4E4B"/>
    <w:rsid w:val="00AE5903"/>
    <w:rsid w:val="00B05DD4"/>
    <w:rsid w:val="00B1693E"/>
    <w:rsid w:val="00B41658"/>
    <w:rsid w:val="00B441EA"/>
    <w:rsid w:val="00B558BD"/>
    <w:rsid w:val="00B7224E"/>
    <w:rsid w:val="00B833A0"/>
    <w:rsid w:val="00BA45C5"/>
    <w:rsid w:val="00BC2C61"/>
    <w:rsid w:val="00BD1E9F"/>
    <w:rsid w:val="00BE5894"/>
    <w:rsid w:val="00BE6A17"/>
    <w:rsid w:val="00BF0B06"/>
    <w:rsid w:val="00BF6622"/>
    <w:rsid w:val="00BF6F43"/>
    <w:rsid w:val="00C16E56"/>
    <w:rsid w:val="00C1750B"/>
    <w:rsid w:val="00C30B44"/>
    <w:rsid w:val="00C434B3"/>
    <w:rsid w:val="00C4515A"/>
    <w:rsid w:val="00C82704"/>
    <w:rsid w:val="00CA2128"/>
    <w:rsid w:val="00CB0639"/>
    <w:rsid w:val="00CB2E4A"/>
    <w:rsid w:val="00CB4924"/>
    <w:rsid w:val="00D048AA"/>
    <w:rsid w:val="00D06CC4"/>
    <w:rsid w:val="00D3178F"/>
    <w:rsid w:val="00D4022D"/>
    <w:rsid w:val="00D44DCE"/>
    <w:rsid w:val="00D46579"/>
    <w:rsid w:val="00D521B4"/>
    <w:rsid w:val="00D6556C"/>
    <w:rsid w:val="00D70BC3"/>
    <w:rsid w:val="00D84907"/>
    <w:rsid w:val="00D869AD"/>
    <w:rsid w:val="00D951DB"/>
    <w:rsid w:val="00DA5726"/>
    <w:rsid w:val="00DA603E"/>
    <w:rsid w:val="00DB1254"/>
    <w:rsid w:val="00DB4044"/>
    <w:rsid w:val="00DE483A"/>
    <w:rsid w:val="00E02E59"/>
    <w:rsid w:val="00E03DE1"/>
    <w:rsid w:val="00E050F7"/>
    <w:rsid w:val="00E0561E"/>
    <w:rsid w:val="00E52ACE"/>
    <w:rsid w:val="00E57D54"/>
    <w:rsid w:val="00E63476"/>
    <w:rsid w:val="00E6394E"/>
    <w:rsid w:val="00E65945"/>
    <w:rsid w:val="00E81101"/>
    <w:rsid w:val="00EA42C9"/>
    <w:rsid w:val="00EB7CF9"/>
    <w:rsid w:val="00EC3F8E"/>
    <w:rsid w:val="00EC5B05"/>
    <w:rsid w:val="00EC5E18"/>
    <w:rsid w:val="00ED1B08"/>
    <w:rsid w:val="00ED4EE3"/>
    <w:rsid w:val="00EE686B"/>
    <w:rsid w:val="00EF0AFD"/>
    <w:rsid w:val="00EF5424"/>
    <w:rsid w:val="00F103E2"/>
    <w:rsid w:val="00F153A8"/>
    <w:rsid w:val="00F15BCA"/>
    <w:rsid w:val="00F17AD4"/>
    <w:rsid w:val="00F31AE2"/>
    <w:rsid w:val="00F33216"/>
    <w:rsid w:val="00F35960"/>
    <w:rsid w:val="00F44D09"/>
    <w:rsid w:val="00F530F7"/>
    <w:rsid w:val="00FB6FCB"/>
    <w:rsid w:val="00FC2FDD"/>
    <w:rsid w:val="00FC3D9A"/>
    <w:rsid w:val="00FC7BDD"/>
    <w:rsid w:val="00FE0F04"/>
    <w:rsid w:val="00FE2AD5"/>
    <w:rsid w:val="00FE5FB3"/>
    <w:rsid w:val="00FE7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A488A4"/>
  <w15:chartTrackingRefBased/>
  <w15:docId w15:val="{714CB4D8-6851-4009-879D-EEE67207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Liberation Serif" w:hAnsi="Liberation Serif" w:cs="Ari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3">
    <w:name w:val="Título3"/>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Padro">
    <w:name w:val="Padrão"/>
    <w:pPr>
      <w:suppressAutoHyphens/>
    </w:pPr>
    <w:rPr>
      <w:rFonts w:ascii="Liberation Serif" w:eastAsia="Tahoma" w:hAnsi="Liberation Serif" w:cs="Liberation Sans"/>
      <w:kern w:val="1"/>
      <w:sz w:val="24"/>
      <w:szCs w:val="24"/>
      <w:lang w:eastAsia="zh-CN" w:bidi="hi-IN"/>
    </w:rPr>
  </w:style>
  <w:style w:type="paragraph" w:customStyle="1" w:styleId="Objetocomseta">
    <w:name w:val="Objeto com seta"/>
    <w:basedOn w:val="Padro"/>
  </w:style>
  <w:style w:type="paragraph" w:customStyle="1" w:styleId="Objetocomsombra">
    <w:name w:val="Objeto com sombra"/>
    <w:basedOn w:val="Padro"/>
  </w:style>
  <w:style w:type="paragraph" w:customStyle="1" w:styleId="Objetosempreenchimento">
    <w:name w:val="Objeto sem preenchimento"/>
    <w:basedOn w:val="Padro"/>
  </w:style>
  <w:style w:type="paragraph" w:customStyle="1" w:styleId="Objetosempreenchimentonemlinha">
    <w:name w:val="Objeto sem preenchimento nem linha"/>
    <w:basedOn w:val="Padro"/>
  </w:style>
  <w:style w:type="paragraph" w:customStyle="1" w:styleId="Corpodotexto">
    <w:name w:val="Corpo do texto"/>
    <w:basedOn w:val="Padro"/>
    <w:rPr>
      <w:sz w:val="32"/>
    </w:rPr>
  </w:style>
  <w:style w:type="paragraph" w:customStyle="1" w:styleId="Corpodotextojustificado">
    <w:name w:val="Corpo do texto justificado"/>
    <w:basedOn w:val="Padro"/>
  </w:style>
  <w:style w:type="paragraph" w:customStyle="1" w:styleId="Recuodaprimeiralinha">
    <w:name w:val="Recuo da primeira linha"/>
    <w:basedOn w:val="Padro"/>
    <w:pPr>
      <w:ind w:firstLine="340"/>
    </w:pPr>
  </w:style>
  <w:style w:type="paragraph" w:customStyle="1" w:styleId="Ttulo1">
    <w:name w:val="Título1"/>
    <w:basedOn w:val="Padro"/>
    <w:pPr>
      <w:jc w:val="center"/>
    </w:pPr>
    <w:rPr>
      <w:sz w:val="48"/>
    </w:rPr>
  </w:style>
  <w:style w:type="paragraph" w:customStyle="1" w:styleId="Ttulo2">
    <w:name w:val="Título2"/>
    <w:basedOn w:val="Padro"/>
    <w:pPr>
      <w:spacing w:before="57" w:after="57"/>
      <w:ind w:right="113"/>
      <w:jc w:val="center"/>
    </w:pPr>
    <w:rPr>
      <w:sz w:val="72"/>
    </w:rPr>
  </w:style>
  <w:style w:type="paragraph" w:customStyle="1" w:styleId="Linhadecota">
    <w:name w:val="Linha de cota"/>
    <w:basedOn w:val="Padro"/>
  </w:style>
  <w:style w:type="paragraph" w:customStyle="1" w:styleId="master-page3LTGliederung1">
    <w:name w:val="master-page3~LT~Gliederung 1"/>
    <w:pPr>
      <w:suppressAutoHyphens/>
      <w:spacing w:before="283"/>
    </w:pPr>
    <w:rPr>
      <w:rFonts w:ascii="Arial" w:eastAsia="Tahoma" w:hAnsi="Arial" w:cs="Liberation Sans"/>
      <w:color w:val="000000"/>
      <w:kern w:val="1"/>
      <w:sz w:val="63"/>
      <w:szCs w:val="24"/>
      <w:lang w:eastAsia="zh-CN" w:bidi="hi-IN"/>
    </w:rPr>
  </w:style>
  <w:style w:type="paragraph" w:customStyle="1" w:styleId="master-page3LTGliederung2">
    <w:name w:val="master-page3~LT~Gliederung 2"/>
    <w:basedOn w:val="master-page3LTGliederung1"/>
    <w:pPr>
      <w:spacing w:before="227"/>
    </w:pPr>
    <w:rPr>
      <w:rFonts w:cs="Arial"/>
      <w:sz w:val="56"/>
    </w:rPr>
  </w:style>
  <w:style w:type="paragraph" w:customStyle="1" w:styleId="master-page3LTGliederung3">
    <w:name w:val="master-page3~LT~Gliederung 3"/>
    <w:basedOn w:val="master-page3LTGliederung2"/>
    <w:pPr>
      <w:spacing w:before="170"/>
    </w:pPr>
    <w:rPr>
      <w:sz w:val="48"/>
    </w:rPr>
  </w:style>
  <w:style w:type="paragraph" w:customStyle="1" w:styleId="master-page3LTGliederung4">
    <w:name w:val="master-page3~LT~Gliederung 4"/>
    <w:basedOn w:val="master-page3LTGliederung3"/>
    <w:pPr>
      <w:spacing w:before="113"/>
    </w:pPr>
    <w:rPr>
      <w:sz w:val="40"/>
    </w:rPr>
  </w:style>
  <w:style w:type="paragraph" w:customStyle="1" w:styleId="master-page3LTGliederung5">
    <w:name w:val="master-page3~LT~Gliederung 5"/>
    <w:basedOn w:val="master-page3LTGliederung4"/>
    <w:pPr>
      <w:spacing w:before="57"/>
    </w:pPr>
  </w:style>
  <w:style w:type="paragraph" w:customStyle="1" w:styleId="master-page3LTGliederung6">
    <w:name w:val="master-page3~LT~Gliederung 6"/>
    <w:basedOn w:val="master-page3LTGliederung5"/>
  </w:style>
  <w:style w:type="paragraph" w:customStyle="1" w:styleId="master-page3LTGliederung7">
    <w:name w:val="master-page3~LT~Gliederung 7"/>
    <w:basedOn w:val="master-page3LTGliederung6"/>
  </w:style>
  <w:style w:type="paragraph" w:customStyle="1" w:styleId="master-page3LTGliederung8">
    <w:name w:val="master-page3~LT~Gliederung 8"/>
    <w:basedOn w:val="master-page3LTGliederung7"/>
  </w:style>
  <w:style w:type="paragraph" w:customStyle="1" w:styleId="master-page3LTGliederung9">
    <w:name w:val="master-page3~LT~Gliederung 9"/>
    <w:basedOn w:val="master-page3LTGliederung8"/>
  </w:style>
  <w:style w:type="paragraph" w:customStyle="1" w:styleId="master-page3LTTitel">
    <w:name w:val="master-page3~LT~Titel"/>
    <w:pPr>
      <w:suppressAutoHyphens/>
      <w:jc w:val="center"/>
    </w:pPr>
    <w:rPr>
      <w:rFonts w:ascii="Arial" w:eastAsia="Tahoma" w:hAnsi="Arial" w:cs="Liberation Sans"/>
      <w:color w:val="000000"/>
      <w:kern w:val="1"/>
      <w:sz w:val="88"/>
      <w:szCs w:val="24"/>
      <w:lang w:eastAsia="zh-CN" w:bidi="hi-IN"/>
    </w:rPr>
  </w:style>
  <w:style w:type="paragraph" w:customStyle="1" w:styleId="master-page3LTUntertitel">
    <w:name w:val="master-page3~LT~Untertitel"/>
    <w:pPr>
      <w:suppressAutoHyphens/>
      <w:jc w:val="center"/>
    </w:pPr>
    <w:rPr>
      <w:rFonts w:ascii="Arial" w:eastAsia="Tahoma" w:hAnsi="Arial" w:cs="Liberation Sans"/>
      <w:color w:val="000000"/>
      <w:kern w:val="1"/>
      <w:sz w:val="64"/>
      <w:szCs w:val="24"/>
      <w:lang w:eastAsia="zh-CN" w:bidi="hi-IN"/>
    </w:rPr>
  </w:style>
  <w:style w:type="paragraph" w:customStyle="1" w:styleId="master-page3LTNotizen">
    <w:name w:val="master-page3~LT~Notizen"/>
    <w:pPr>
      <w:suppressAutoHyphens/>
      <w:ind w:left="340" w:hanging="340"/>
    </w:pPr>
    <w:rPr>
      <w:rFonts w:ascii="Arial" w:eastAsia="Tahoma" w:hAnsi="Arial" w:cs="Liberation Sans"/>
      <w:color w:val="000000"/>
      <w:kern w:val="1"/>
      <w:sz w:val="40"/>
      <w:szCs w:val="24"/>
      <w:lang w:eastAsia="zh-CN" w:bidi="hi-IN"/>
    </w:rPr>
  </w:style>
  <w:style w:type="paragraph" w:customStyle="1" w:styleId="master-page3LTHintergrundobjekte">
    <w:name w:val="master-page3~LT~Hintergrundobjekte"/>
    <w:pPr>
      <w:suppressAutoHyphens/>
    </w:pPr>
    <w:rPr>
      <w:rFonts w:ascii="Liberation Serif" w:eastAsia="Tahoma" w:hAnsi="Liberation Serif" w:cs="Liberation Sans"/>
      <w:kern w:val="1"/>
      <w:sz w:val="24"/>
      <w:szCs w:val="24"/>
      <w:lang w:eastAsia="zh-CN" w:bidi="hi-IN"/>
    </w:rPr>
  </w:style>
  <w:style w:type="paragraph" w:customStyle="1" w:styleId="master-page3LTHintergrund">
    <w:name w:val="master-page3~LT~Hintergrund"/>
    <w:pPr>
      <w:suppressAutoHyphens/>
    </w:pPr>
    <w:rPr>
      <w:rFonts w:ascii="Liberation Serif" w:eastAsia="Tahoma" w:hAnsi="Liberation Serif" w:cs="Liberation Sans"/>
      <w:kern w:val="1"/>
      <w:sz w:val="24"/>
      <w:szCs w:val="24"/>
      <w:lang w:eastAsia="zh-CN" w:bidi="hi-IN"/>
    </w:rPr>
  </w:style>
  <w:style w:type="paragraph" w:customStyle="1" w:styleId="default">
    <w:name w:val="default"/>
    <w:pPr>
      <w:suppressAutoHyphens/>
      <w:spacing w:line="200" w:lineRule="atLeast"/>
    </w:pPr>
    <w:rPr>
      <w:rFonts w:ascii="Arial" w:eastAsia="Tahoma" w:hAnsi="Arial" w:cs="Liberation Sans"/>
      <w:color w:val="000000"/>
      <w:kern w:val="1"/>
      <w:sz w:val="36"/>
      <w:szCs w:val="24"/>
      <w:lang w:eastAsia="zh-CN" w:bidi="hi-IN"/>
    </w:rPr>
  </w:style>
  <w:style w:type="paragraph" w:customStyle="1" w:styleId="gray1">
    <w:name w:val="gray1"/>
    <w:basedOn w:val="default"/>
    <w:rPr>
      <w:rFonts w:cs="Arial"/>
    </w:rPr>
  </w:style>
  <w:style w:type="paragraph" w:customStyle="1" w:styleId="gray2">
    <w:name w:val="gray2"/>
    <w:basedOn w:val="default"/>
    <w:rPr>
      <w:rFonts w:cs="Arial"/>
    </w:rPr>
  </w:style>
  <w:style w:type="paragraph" w:customStyle="1" w:styleId="gray3">
    <w:name w:val="gray3"/>
    <w:basedOn w:val="default"/>
    <w:rPr>
      <w:rFonts w:cs="Arial"/>
    </w:rPr>
  </w:style>
  <w:style w:type="paragraph" w:customStyle="1" w:styleId="bw1">
    <w:name w:val="bw1"/>
    <w:basedOn w:val="default"/>
    <w:rPr>
      <w:rFonts w:cs="Arial"/>
    </w:rPr>
  </w:style>
  <w:style w:type="paragraph" w:customStyle="1" w:styleId="bw2">
    <w:name w:val="bw2"/>
    <w:basedOn w:val="default"/>
    <w:rPr>
      <w:rFonts w:cs="Arial"/>
    </w:rPr>
  </w:style>
  <w:style w:type="paragraph" w:customStyle="1" w:styleId="bw3">
    <w:name w:val="bw3"/>
    <w:basedOn w:val="default"/>
    <w:rPr>
      <w:rFonts w:cs="Arial"/>
    </w:rPr>
  </w:style>
  <w:style w:type="paragraph" w:customStyle="1" w:styleId="orange1">
    <w:name w:val="orange1"/>
    <w:basedOn w:val="default"/>
    <w:rPr>
      <w:rFonts w:cs="Arial"/>
    </w:rPr>
  </w:style>
  <w:style w:type="paragraph" w:customStyle="1" w:styleId="orange2">
    <w:name w:val="orange2"/>
    <w:basedOn w:val="default"/>
    <w:rPr>
      <w:rFonts w:cs="Arial"/>
    </w:rPr>
  </w:style>
  <w:style w:type="paragraph" w:customStyle="1" w:styleId="orange3">
    <w:name w:val="orange3"/>
    <w:basedOn w:val="default"/>
    <w:rPr>
      <w:rFonts w:cs="Arial"/>
    </w:rPr>
  </w:style>
  <w:style w:type="paragraph" w:customStyle="1" w:styleId="turquoise1">
    <w:name w:val="turquoise1"/>
    <w:basedOn w:val="default"/>
    <w:rPr>
      <w:rFonts w:cs="Arial"/>
    </w:rPr>
  </w:style>
  <w:style w:type="paragraph" w:customStyle="1" w:styleId="turquoise2">
    <w:name w:val="turquoise2"/>
    <w:basedOn w:val="default"/>
    <w:rPr>
      <w:rFonts w:cs="Arial"/>
    </w:rPr>
  </w:style>
  <w:style w:type="paragraph" w:customStyle="1" w:styleId="turquoise3">
    <w:name w:val="turquoise3"/>
    <w:basedOn w:val="default"/>
    <w:rPr>
      <w:rFonts w:cs="Arial"/>
    </w:rPr>
  </w:style>
  <w:style w:type="paragraph" w:customStyle="1" w:styleId="blue1">
    <w:name w:val="blue1"/>
    <w:basedOn w:val="default"/>
    <w:rPr>
      <w:rFonts w:cs="Arial"/>
    </w:rPr>
  </w:style>
  <w:style w:type="paragraph" w:customStyle="1" w:styleId="blue2">
    <w:name w:val="blue2"/>
    <w:basedOn w:val="default"/>
    <w:rPr>
      <w:rFonts w:cs="Arial"/>
    </w:rPr>
  </w:style>
  <w:style w:type="paragraph" w:customStyle="1" w:styleId="blue3">
    <w:name w:val="blue3"/>
    <w:basedOn w:val="default"/>
    <w:rPr>
      <w:rFonts w:cs="Arial"/>
    </w:rPr>
  </w:style>
  <w:style w:type="paragraph" w:customStyle="1" w:styleId="sun1">
    <w:name w:val="sun1"/>
    <w:basedOn w:val="default"/>
    <w:rPr>
      <w:rFonts w:cs="Arial"/>
    </w:rPr>
  </w:style>
  <w:style w:type="paragraph" w:customStyle="1" w:styleId="sun2">
    <w:name w:val="sun2"/>
    <w:basedOn w:val="default"/>
    <w:rPr>
      <w:rFonts w:cs="Arial"/>
    </w:rPr>
  </w:style>
  <w:style w:type="paragraph" w:customStyle="1" w:styleId="sun3">
    <w:name w:val="sun3"/>
    <w:basedOn w:val="default"/>
    <w:rPr>
      <w:rFonts w:cs="Arial"/>
    </w:rPr>
  </w:style>
  <w:style w:type="paragraph" w:customStyle="1" w:styleId="earth1">
    <w:name w:val="earth1"/>
    <w:basedOn w:val="default"/>
    <w:rPr>
      <w:rFonts w:cs="Arial"/>
    </w:rPr>
  </w:style>
  <w:style w:type="paragraph" w:customStyle="1" w:styleId="earth2">
    <w:name w:val="earth2"/>
    <w:basedOn w:val="default"/>
    <w:rPr>
      <w:rFonts w:cs="Arial"/>
    </w:rPr>
  </w:style>
  <w:style w:type="paragraph" w:customStyle="1" w:styleId="earth3">
    <w:name w:val="earth3"/>
    <w:basedOn w:val="default"/>
    <w:rPr>
      <w:rFonts w:cs="Arial"/>
    </w:rPr>
  </w:style>
  <w:style w:type="paragraph" w:customStyle="1" w:styleId="green1">
    <w:name w:val="green1"/>
    <w:basedOn w:val="default"/>
    <w:rPr>
      <w:rFonts w:cs="Arial"/>
    </w:rPr>
  </w:style>
  <w:style w:type="paragraph" w:customStyle="1" w:styleId="green2">
    <w:name w:val="green2"/>
    <w:basedOn w:val="default"/>
    <w:rPr>
      <w:rFonts w:cs="Arial"/>
    </w:rPr>
  </w:style>
  <w:style w:type="paragraph" w:customStyle="1" w:styleId="green3">
    <w:name w:val="green3"/>
    <w:basedOn w:val="default"/>
    <w:rPr>
      <w:rFonts w:cs="Arial"/>
    </w:rPr>
  </w:style>
  <w:style w:type="paragraph" w:customStyle="1" w:styleId="seetang1">
    <w:name w:val="seetang1"/>
    <w:basedOn w:val="default"/>
    <w:rPr>
      <w:rFonts w:cs="Arial"/>
    </w:rPr>
  </w:style>
  <w:style w:type="paragraph" w:customStyle="1" w:styleId="seetang2">
    <w:name w:val="seetang2"/>
    <w:basedOn w:val="default"/>
    <w:rPr>
      <w:rFonts w:cs="Arial"/>
    </w:rPr>
  </w:style>
  <w:style w:type="paragraph" w:customStyle="1" w:styleId="seetang3">
    <w:name w:val="seetang3"/>
    <w:basedOn w:val="default"/>
    <w:rPr>
      <w:rFonts w:cs="Arial"/>
    </w:rPr>
  </w:style>
  <w:style w:type="paragraph" w:customStyle="1" w:styleId="lightblue1">
    <w:name w:val="lightblue1"/>
    <w:basedOn w:val="default"/>
    <w:rPr>
      <w:rFonts w:cs="Arial"/>
    </w:rPr>
  </w:style>
  <w:style w:type="paragraph" w:customStyle="1" w:styleId="lightblue2">
    <w:name w:val="lightblue2"/>
    <w:basedOn w:val="default"/>
    <w:rPr>
      <w:rFonts w:cs="Arial"/>
    </w:rPr>
  </w:style>
  <w:style w:type="paragraph" w:customStyle="1" w:styleId="lightblue3">
    <w:name w:val="lightblue3"/>
    <w:basedOn w:val="default"/>
    <w:rPr>
      <w:rFonts w:cs="Arial"/>
    </w:rPr>
  </w:style>
  <w:style w:type="paragraph" w:customStyle="1" w:styleId="yellow1">
    <w:name w:val="yellow1"/>
    <w:basedOn w:val="default"/>
    <w:rPr>
      <w:rFonts w:cs="Arial"/>
    </w:rPr>
  </w:style>
  <w:style w:type="paragraph" w:customStyle="1" w:styleId="yellow2">
    <w:name w:val="yellow2"/>
    <w:basedOn w:val="default"/>
    <w:rPr>
      <w:rFonts w:cs="Arial"/>
    </w:rPr>
  </w:style>
  <w:style w:type="paragraph" w:customStyle="1" w:styleId="yellow3">
    <w:name w:val="yellow3"/>
    <w:basedOn w:val="default"/>
    <w:rPr>
      <w:rFonts w:cs="Arial"/>
    </w:rPr>
  </w:style>
  <w:style w:type="paragraph" w:customStyle="1" w:styleId="Objetosdoplanodefundo">
    <w:name w:val="Objetos do plano de fundo"/>
    <w:pPr>
      <w:suppressAutoHyphens/>
    </w:pPr>
    <w:rPr>
      <w:rFonts w:ascii="Liberation Serif" w:eastAsia="Tahoma" w:hAnsi="Liberation Serif" w:cs="Liberation Sans"/>
      <w:kern w:val="1"/>
      <w:sz w:val="24"/>
      <w:szCs w:val="24"/>
      <w:lang w:eastAsia="zh-CN" w:bidi="hi-IN"/>
    </w:rPr>
  </w:style>
  <w:style w:type="paragraph" w:customStyle="1" w:styleId="Planodefundo">
    <w:name w:val="Plano de fundo"/>
    <w:pPr>
      <w:suppressAutoHyphens/>
    </w:pPr>
    <w:rPr>
      <w:rFonts w:ascii="Liberation Serif" w:eastAsia="Tahoma" w:hAnsi="Liberation Serif" w:cs="Liberation Sans"/>
      <w:kern w:val="1"/>
      <w:sz w:val="24"/>
      <w:szCs w:val="24"/>
      <w:lang w:eastAsia="zh-CN" w:bidi="hi-IN"/>
    </w:rPr>
  </w:style>
  <w:style w:type="paragraph" w:customStyle="1" w:styleId="Notas">
    <w:name w:val="Notas"/>
    <w:pPr>
      <w:suppressAutoHyphens/>
      <w:ind w:left="340" w:hanging="340"/>
    </w:pPr>
    <w:rPr>
      <w:rFonts w:ascii="Arial" w:eastAsia="Tahoma" w:hAnsi="Arial" w:cs="Liberation Sans"/>
      <w:color w:val="000000"/>
      <w:kern w:val="1"/>
      <w:sz w:val="40"/>
      <w:szCs w:val="24"/>
      <w:lang w:eastAsia="zh-CN" w:bidi="hi-IN"/>
    </w:rPr>
  </w:style>
  <w:style w:type="paragraph" w:customStyle="1" w:styleId="Estruturadetpicos1">
    <w:name w:val="Estrutura de tópicos 1"/>
    <w:pPr>
      <w:suppressAutoHyphens/>
      <w:spacing w:before="283"/>
    </w:pPr>
    <w:rPr>
      <w:rFonts w:ascii="Arial" w:eastAsia="Tahoma" w:hAnsi="Arial" w:cs="Liberation Sans"/>
      <w:color w:val="000000"/>
      <w:kern w:val="1"/>
      <w:sz w:val="63"/>
      <w:szCs w:val="24"/>
      <w:lang w:eastAsia="zh-CN" w:bidi="hi-IN"/>
    </w:rPr>
  </w:style>
  <w:style w:type="paragraph" w:customStyle="1" w:styleId="Estruturadetpicos2">
    <w:name w:val="Estrutura de tópicos 2"/>
    <w:basedOn w:val="Estruturadetpicos1"/>
    <w:pPr>
      <w:spacing w:before="227"/>
    </w:pPr>
    <w:rPr>
      <w:rFonts w:cs="Arial"/>
      <w:sz w:val="56"/>
    </w:rPr>
  </w:style>
  <w:style w:type="paragraph" w:customStyle="1" w:styleId="Estruturadetpicos3">
    <w:name w:val="Estrutura de tópicos 3"/>
    <w:basedOn w:val="Estruturadetpicos2"/>
    <w:pPr>
      <w:spacing w:before="170"/>
    </w:pPr>
    <w:rPr>
      <w:sz w:val="48"/>
    </w:rPr>
  </w:style>
  <w:style w:type="paragraph" w:customStyle="1" w:styleId="Estruturadetpicos4">
    <w:name w:val="Estrutura de tópicos 4"/>
    <w:basedOn w:val="Estruturadetpicos3"/>
    <w:pPr>
      <w:spacing w:before="113"/>
    </w:pPr>
    <w:rPr>
      <w:sz w:val="40"/>
    </w:rPr>
  </w:style>
  <w:style w:type="paragraph" w:customStyle="1" w:styleId="Estruturadetpicos5">
    <w:name w:val="Estrutura de tópicos 5"/>
    <w:basedOn w:val="Estruturadetpicos4"/>
    <w:pPr>
      <w:spacing w:before="57"/>
    </w:pPr>
  </w:style>
  <w:style w:type="paragraph" w:customStyle="1" w:styleId="Estruturadetpicos6">
    <w:name w:val="Estrutura de tópicos 6"/>
    <w:basedOn w:val="Estruturadetpicos5"/>
  </w:style>
  <w:style w:type="paragraph" w:customStyle="1" w:styleId="Estruturadetpicos7">
    <w:name w:val="Estrutura de tópicos 7"/>
    <w:basedOn w:val="Estruturadetpicos6"/>
  </w:style>
  <w:style w:type="paragraph" w:customStyle="1" w:styleId="Estruturadetpicos8">
    <w:name w:val="Estrutura de tópicos 8"/>
    <w:basedOn w:val="Estruturadetpicos7"/>
  </w:style>
  <w:style w:type="paragraph" w:customStyle="1" w:styleId="Estruturadetpicos9">
    <w:name w:val="Estrutura de tópicos 9"/>
    <w:basedOn w:val="Estruturadetpicos8"/>
  </w:style>
  <w:style w:type="paragraph" w:customStyle="1" w:styleId="master-page40LTGliederung1">
    <w:name w:val="master-page40~LT~Gliederung 1"/>
    <w:pPr>
      <w:suppressAutoHyphens/>
      <w:spacing w:before="283"/>
    </w:pPr>
    <w:rPr>
      <w:rFonts w:ascii="Arial" w:eastAsia="Tahoma" w:hAnsi="Arial" w:cs="Liberation Sans"/>
      <w:color w:val="000000"/>
      <w:kern w:val="1"/>
      <w:sz w:val="63"/>
      <w:szCs w:val="24"/>
      <w:lang w:eastAsia="zh-CN" w:bidi="hi-IN"/>
    </w:rPr>
  </w:style>
  <w:style w:type="paragraph" w:customStyle="1" w:styleId="master-page40LTGliederung2">
    <w:name w:val="master-page40~LT~Gliederung 2"/>
    <w:basedOn w:val="master-page40LTGliederung1"/>
    <w:pPr>
      <w:spacing w:before="227"/>
    </w:pPr>
    <w:rPr>
      <w:rFonts w:cs="Arial"/>
      <w:sz w:val="56"/>
    </w:rPr>
  </w:style>
  <w:style w:type="paragraph" w:customStyle="1" w:styleId="master-page40LTGliederung3">
    <w:name w:val="master-page40~LT~Gliederung 3"/>
    <w:basedOn w:val="master-page40LTGliederung2"/>
    <w:pPr>
      <w:spacing w:before="170"/>
    </w:pPr>
    <w:rPr>
      <w:sz w:val="48"/>
    </w:rPr>
  </w:style>
  <w:style w:type="paragraph" w:customStyle="1" w:styleId="master-page40LTGliederung4">
    <w:name w:val="master-page40~LT~Gliederung 4"/>
    <w:basedOn w:val="master-page40LTGliederung3"/>
    <w:pPr>
      <w:spacing w:before="113"/>
    </w:pPr>
    <w:rPr>
      <w:sz w:val="40"/>
    </w:rPr>
  </w:style>
  <w:style w:type="paragraph" w:customStyle="1" w:styleId="master-page40LTGliederung5">
    <w:name w:val="master-page40~LT~Gliederung 5"/>
    <w:basedOn w:val="master-page40LTGliederung4"/>
    <w:pPr>
      <w:spacing w:before="57"/>
    </w:pPr>
  </w:style>
  <w:style w:type="paragraph" w:customStyle="1" w:styleId="master-page40LTGliederung6">
    <w:name w:val="master-page40~LT~Gliederung 6"/>
    <w:basedOn w:val="master-page40LTGliederung5"/>
  </w:style>
  <w:style w:type="paragraph" w:customStyle="1" w:styleId="master-page40LTGliederung7">
    <w:name w:val="master-page40~LT~Gliederung 7"/>
    <w:basedOn w:val="master-page40LTGliederung6"/>
  </w:style>
  <w:style w:type="paragraph" w:customStyle="1" w:styleId="master-page40LTGliederung8">
    <w:name w:val="master-page40~LT~Gliederung 8"/>
    <w:basedOn w:val="master-page40LTGliederung7"/>
  </w:style>
  <w:style w:type="paragraph" w:customStyle="1" w:styleId="master-page40LTGliederung9">
    <w:name w:val="master-page40~LT~Gliederung 9"/>
    <w:basedOn w:val="master-page40LTGliederung8"/>
  </w:style>
  <w:style w:type="paragraph" w:customStyle="1" w:styleId="master-page40LTTitel">
    <w:name w:val="master-page40~LT~Titel"/>
    <w:pPr>
      <w:suppressAutoHyphens/>
      <w:jc w:val="center"/>
    </w:pPr>
    <w:rPr>
      <w:rFonts w:ascii="Arial" w:eastAsia="Tahoma" w:hAnsi="Arial" w:cs="Liberation Sans"/>
      <w:color w:val="000000"/>
      <w:kern w:val="1"/>
      <w:sz w:val="88"/>
      <w:szCs w:val="24"/>
      <w:lang w:eastAsia="zh-CN" w:bidi="hi-IN"/>
    </w:rPr>
  </w:style>
  <w:style w:type="paragraph" w:customStyle="1" w:styleId="master-page40LTUntertitel">
    <w:name w:val="master-page40~LT~Untertitel"/>
    <w:pPr>
      <w:suppressAutoHyphens/>
      <w:jc w:val="center"/>
    </w:pPr>
    <w:rPr>
      <w:rFonts w:ascii="Arial" w:eastAsia="Tahoma" w:hAnsi="Arial" w:cs="Liberation Sans"/>
      <w:color w:val="000000"/>
      <w:kern w:val="1"/>
      <w:sz w:val="64"/>
      <w:szCs w:val="24"/>
      <w:lang w:eastAsia="zh-CN" w:bidi="hi-IN"/>
    </w:rPr>
  </w:style>
  <w:style w:type="paragraph" w:customStyle="1" w:styleId="master-page40LTNotizen">
    <w:name w:val="master-page40~LT~Notizen"/>
    <w:pPr>
      <w:suppressAutoHyphens/>
      <w:ind w:left="340" w:hanging="340"/>
    </w:pPr>
    <w:rPr>
      <w:rFonts w:ascii="Arial" w:eastAsia="Tahoma" w:hAnsi="Arial" w:cs="Liberation Sans"/>
      <w:color w:val="000000"/>
      <w:kern w:val="1"/>
      <w:sz w:val="40"/>
      <w:szCs w:val="24"/>
      <w:lang w:eastAsia="zh-CN" w:bidi="hi-IN"/>
    </w:rPr>
  </w:style>
  <w:style w:type="paragraph" w:customStyle="1" w:styleId="master-page40LTHintergrundobjekte">
    <w:name w:val="master-page40~LT~Hintergrundobjekte"/>
    <w:pPr>
      <w:suppressAutoHyphens/>
    </w:pPr>
    <w:rPr>
      <w:rFonts w:ascii="Liberation Serif" w:eastAsia="Tahoma" w:hAnsi="Liberation Serif" w:cs="Liberation Sans"/>
      <w:kern w:val="1"/>
      <w:sz w:val="24"/>
      <w:szCs w:val="24"/>
      <w:lang w:eastAsia="zh-CN" w:bidi="hi-IN"/>
    </w:rPr>
  </w:style>
  <w:style w:type="paragraph" w:customStyle="1" w:styleId="master-page40LTHintergrund">
    <w:name w:val="master-page40~LT~Hintergrund"/>
    <w:pPr>
      <w:suppressAutoHyphens/>
    </w:pPr>
    <w:rPr>
      <w:rFonts w:ascii="Liberation Serif" w:eastAsia="Tahoma" w:hAnsi="Liberation Serif" w:cs="Liberation Sans"/>
      <w:kern w:val="1"/>
      <w:sz w:val="24"/>
      <w:szCs w:val="24"/>
      <w:lang w:eastAsia="zh-CN" w:bidi="hi-IN"/>
    </w:rPr>
  </w:style>
  <w:style w:type="paragraph" w:customStyle="1" w:styleId="master-page51LTGliederung1">
    <w:name w:val="master-page51~LT~Gliederung 1"/>
    <w:pPr>
      <w:suppressAutoHyphens/>
      <w:spacing w:before="283"/>
    </w:pPr>
    <w:rPr>
      <w:rFonts w:ascii="Arial" w:eastAsia="Tahoma" w:hAnsi="Arial" w:cs="Liberation Sans"/>
      <w:color w:val="000000"/>
      <w:kern w:val="1"/>
      <w:sz w:val="63"/>
      <w:szCs w:val="24"/>
      <w:lang w:eastAsia="zh-CN" w:bidi="hi-IN"/>
    </w:rPr>
  </w:style>
  <w:style w:type="paragraph" w:customStyle="1" w:styleId="master-page51LTGliederung2">
    <w:name w:val="master-page51~LT~Gliederung 2"/>
    <w:basedOn w:val="master-page51LTGliederung1"/>
    <w:pPr>
      <w:spacing w:before="227"/>
    </w:pPr>
    <w:rPr>
      <w:rFonts w:cs="Arial"/>
      <w:sz w:val="56"/>
    </w:rPr>
  </w:style>
  <w:style w:type="paragraph" w:customStyle="1" w:styleId="master-page51LTGliederung3">
    <w:name w:val="master-page51~LT~Gliederung 3"/>
    <w:basedOn w:val="master-page51LTGliederung2"/>
    <w:pPr>
      <w:spacing w:before="170"/>
    </w:pPr>
    <w:rPr>
      <w:sz w:val="48"/>
    </w:rPr>
  </w:style>
  <w:style w:type="paragraph" w:customStyle="1" w:styleId="master-page51LTGliederung4">
    <w:name w:val="master-page51~LT~Gliederung 4"/>
    <w:basedOn w:val="master-page51LTGliederung3"/>
    <w:pPr>
      <w:spacing w:before="113"/>
    </w:pPr>
    <w:rPr>
      <w:sz w:val="40"/>
    </w:rPr>
  </w:style>
  <w:style w:type="paragraph" w:customStyle="1" w:styleId="master-page51LTGliederung5">
    <w:name w:val="master-page51~LT~Gliederung 5"/>
    <w:basedOn w:val="master-page51LTGliederung4"/>
    <w:pPr>
      <w:spacing w:before="57"/>
    </w:pPr>
  </w:style>
  <w:style w:type="paragraph" w:customStyle="1" w:styleId="master-page51LTGliederung6">
    <w:name w:val="master-page51~LT~Gliederung 6"/>
    <w:basedOn w:val="master-page51LTGliederung5"/>
  </w:style>
  <w:style w:type="paragraph" w:customStyle="1" w:styleId="master-page51LTGliederung7">
    <w:name w:val="master-page51~LT~Gliederung 7"/>
    <w:basedOn w:val="master-page51LTGliederung6"/>
  </w:style>
  <w:style w:type="paragraph" w:customStyle="1" w:styleId="master-page51LTGliederung8">
    <w:name w:val="master-page51~LT~Gliederung 8"/>
    <w:basedOn w:val="master-page51LTGliederung7"/>
  </w:style>
  <w:style w:type="paragraph" w:customStyle="1" w:styleId="master-page51LTGliederung9">
    <w:name w:val="master-page51~LT~Gliederung 9"/>
    <w:basedOn w:val="master-page51LTGliederung8"/>
  </w:style>
  <w:style w:type="paragraph" w:customStyle="1" w:styleId="master-page51LTTitel">
    <w:name w:val="master-page51~LT~Titel"/>
    <w:pPr>
      <w:suppressAutoHyphens/>
      <w:jc w:val="center"/>
    </w:pPr>
    <w:rPr>
      <w:rFonts w:ascii="Arial" w:eastAsia="Tahoma" w:hAnsi="Arial" w:cs="Liberation Sans"/>
      <w:color w:val="000000"/>
      <w:kern w:val="1"/>
      <w:sz w:val="88"/>
      <w:szCs w:val="24"/>
      <w:lang w:eastAsia="zh-CN" w:bidi="hi-IN"/>
    </w:rPr>
  </w:style>
  <w:style w:type="paragraph" w:customStyle="1" w:styleId="master-page51LTUntertitel">
    <w:name w:val="master-page51~LT~Untertitel"/>
    <w:pPr>
      <w:suppressAutoHyphens/>
      <w:jc w:val="center"/>
    </w:pPr>
    <w:rPr>
      <w:rFonts w:ascii="Arial" w:eastAsia="Tahoma" w:hAnsi="Arial" w:cs="Liberation Sans"/>
      <w:color w:val="000000"/>
      <w:kern w:val="1"/>
      <w:sz w:val="64"/>
      <w:szCs w:val="24"/>
      <w:lang w:eastAsia="zh-CN" w:bidi="hi-IN"/>
    </w:rPr>
  </w:style>
  <w:style w:type="paragraph" w:customStyle="1" w:styleId="master-page51LTNotizen">
    <w:name w:val="master-page51~LT~Notizen"/>
    <w:pPr>
      <w:suppressAutoHyphens/>
      <w:ind w:left="340" w:hanging="340"/>
    </w:pPr>
    <w:rPr>
      <w:rFonts w:ascii="Arial" w:eastAsia="Tahoma" w:hAnsi="Arial" w:cs="Liberation Sans"/>
      <w:color w:val="000000"/>
      <w:kern w:val="1"/>
      <w:sz w:val="40"/>
      <w:szCs w:val="24"/>
      <w:lang w:eastAsia="zh-CN" w:bidi="hi-IN"/>
    </w:rPr>
  </w:style>
  <w:style w:type="paragraph" w:customStyle="1" w:styleId="master-page51LTHintergrundobjekte">
    <w:name w:val="master-page51~LT~Hintergrundobjekte"/>
    <w:pPr>
      <w:suppressAutoHyphens/>
    </w:pPr>
    <w:rPr>
      <w:rFonts w:ascii="Liberation Serif" w:eastAsia="Tahoma" w:hAnsi="Liberation Serif" w:cs="Liberation Sans"/>
      <w:kern w:val="1"/>
      <w:sz w:val="24"/>
      <w:szCs w:val="24"/>
      <w:lang w:eastAsia="zh-CN" w:bidi="hi-IN"/>
    </w:rPr>
  </w:style>
  <w:style w:type="paragraph" w:customStyle="1" w:styleId="master-page51LTHintergrund">
    <w:name w:val="master-page51~LT~Hintergrund"/>
    <w:pPr>
      <w:suppressAutoHyphens/>
    </w:pPr>
    <w:rPr>
      <w:rFonts w:ascii="Liberation Serif" w:eastAsia="Tahoma" w:hAnsi="Liberation Serif" w:cs="Liberation Sans"/>
      <w:kern w:val="1"/>
      <w:sz w:val="24"/>
      <w:szCs w:val="24"/>
      <w:lang w:eastAsia="zh-CN" w:bidi="hi-IN"/>
    </w:rPr>
  </w:style>
  <w:style w:type="paragraph" w:customStyle="1" w:styleId="master-page32LTGliederung1">
    <w:name w:val="master-page32~LT~Gliederung 1"/>
    <w:pPr>
      <w:suppressAutoHyphens/>
      <w:spacing w:before="283"/>
    </w:pPr>
    <w:rPr>
      <w:rFonts w:ascii="Arial" w:eastAsia="Tahoma" w:hAnsi="Arial" w:cs="Liberation Sans"/>
      <w:color w:val="000000"/>
      <w:kern w:val="1"/>
      <w:sz w:val="63"/>
      <w:szCs w:val="24"/>
      <w:lang w:eastAsia="zh-CN" w:bidi="hi-IN"/>
    </w:rPr>
  </w:style>
  <w:style w:type="paragraph" w:customStyle="1" w:styleId="master-page32LTGliederung2">
    <w:name w:val="master-page32~LT~Gliederung 2"/>
    <w:basedOn w:val="master-page32LTGliederung1"/>
    <w:pPr>
      <w:spacing w:before="227"/>
    </w:pPr>
    <w:rPr>
      <w:rFonts w:cs="Arial"/>
      <w:sz w:val="56"/>
    </w:rPr>
  </w:style>
  <w:style w:type="paragraph" w:customStyle="1" w:styleId="master-page32LTGliederung3">
    <w:name w:val="master-page32~LT~Gliederung 3"/>
    <w:basedOn w:val="master-page32LTGliederung2"/>
    <w:pPr>
      <w:spacing w:before="170"/>
    </w:pPr>
    <w:rPr>
      <w:sz w:val="48"/>
    </w:rPr>
  </w:style>
  <w:style w:type="paragraph" w:customStyle="1" w:styleId="master-page32LTGliederung4">
    <w:name w:val="master-page32~LT~Gliederung 4"/>
    <w:basedOn w:val="master-page32LTGliederung3"/>
    <w:pPr>
      <w:spacing w:before="113"/>
    </w:pPr>
    <w:rPr>
      <w:sz w:val="40"/>
    </w:rPr>
  </w:style>
  <w:style w:type="paragraph" w:customStyle="1" w:styleId="master-page32LTGliederung5">
    <w:name w:val="master-page32~LT~Gliederung 5"/>
    <w:basedOn w:val="master-page32LTGliederung4"/>
    <w:pPr>
      <w:spacing w:before="57"/>
    </w:pPr>
  </w:style>
  <w:style w:type="paragraph" w:customStyle="1" w:styleId="master-page32LTGliederung6">
    <w:name w:val="master-page32~LT~Gliederung 6"/>
    <w:basedOn w:val="master-page32LTGliederung5"/>
  </w:style>
  <w:style w:type="paragraph" w:customStyle="1" w:styleId="master-page32LTGliederung7">
    <w:name w:val="master-page32~LT~Gliederung 7"/>
    <w:basedOn w:val="master-page32LTGliederung6"/>
  </w:style>
  <w:style w:type="paragraph" w:customStyle="1" w:styleId="master-page32LTGliederung8">
    <w:name w:val="master-page32~LT~Gliederung 8"/>
    <w:basedOn w:val="master-page32LTGliederung7"/>
  </w:style>
  <w:style w:type="paragraph" w:customStyle="1" w:styleId="master-page32LTGliederung9">
    <w:name w:val="master-page32~LT~Gliederung 9"/>
    <w:basedOn w:val="master-page32LTGliederung8"/>
  </w:style>
  <w:style w:type="paragraph" w:customStyle="1" w:styleId="master-page32LTTitel">
    <w:name w:val="master-page32~LT~Titel"/>
    <w:pPr>
      <w:suppressAutoHyphens/>
      <w:jc w:val="center"/>
    </w:pPr>
    <w:rPr>
      <w:rFonts w:ascii="Arial" w:eastAsia="Tahoma" w:hAnsi="Arial" w:cs="Liberation Sans"/>
      <w:color w:val="000000"/>
      <w:kern w:val="1"/>
      <w:sz w:val="88"/>
      <w:szCs w:val="24"/>
      <w:lang w:eastAsia="zh-CN" w:bidi="hi-IN"/>
    </w:rPr>
  </w:style>
  <w:style w:type="paragraph" w:customStyle="1" w:styleId="master-page32LTUntertitel">
    <w:name w:val="master-page32~LT~Untertitel"/>
    <w:pPr>
      <w:suppressAutoHyphens/>
      <w:jc w:val="center"/>
    </w:pPr>
    <w:rPr>
      <w:rFonts w:ascii="Arial" w:eastAsia="Tahoma" w:hAnsi="Arial" w:cs="Liberation Sans"/>
      <w:color w:val="000000"/>
      <w:kern w:val="1"/>
      <w:sz w:val="64"/>
      <w:szCs w:val="24"/>
      <w:lang w:eastAsia="zh-CN" w:bidi="hi-IN"/>
    </w:rPr>
  </w:style>
  <w:style w:type="paragraph" w:customStyle="1" w:styleId="master-page32LTNotizen">
    <w:name w:val="master-page32~LT~Notizen"/>
    <w:pPr>
      <w:suppressAutoHyphens/>
      <w:ind w:left="340" w:hanging="340"/>
    </w:pPr>
    <w:rPr>
      <w:rFonts w:ascii="Arial" w:eastAsia="Tahoma" w:hAnsi="Arial" w:cs="Liberation Sans"/>
      <w:color w:val="000000"/>
      <w:kern w:val="1"/>
      <w:sz w:val="40"/>
      <w:szCs w:val="24"/>
      <w:lang w:eastAsia="zh-CN" w:bidi="hi-IN"/>
    </w:rPr>
  </w:style>
  <w:style w:type="paragraph" w:customStyle="1" w:styleId="master-page32LTHintergrundobjekte">
    <w:name w:val="master-page32~LT~Hintergrundobjekte"/>
    <w:pPr>
      <w:suppressAutoHyphens/>
    </w:pPr>
    <w:rPr>
      <w:rFonts w:ascii="Liberation Serif" w:eastAsia="Tahoma" w:hAnsi="Liberation Serif" w:cs="Liberation Sans"/>
      <w:kern w:val="1"/>
      <w:sz w:val="24"/>
      <w:szCs w:val="24"/>
      <w:lang w:eastAsia="zh-CN" w:bidi="hi-IN"/>
    </w:rPr>
  </w:style>
  <w:style w:type="paragraph" w:customStyle="1" w:styleId="master-page32LTHintergrund">
    <w:name w:val="master-page32~LT~Hintergrund"/>
    <w:pPr>
      <w:suppressAutoHyphens/>
    </w:pPr>
    <w:rPr>
      <w:rFonts w:ascii="Liberation Serif" w:eastAsia="Tahoma" w:hAnsi="Liberation Serif" w:cs="Liberation Sans"/>
      <w:kern w:val="1"/>
      <w:sz w:val="24"/>
      <w:szCs w:val="24"/>
      <w:lang w:eastAsia="zh-CN" w:bidi="hi-IN"/>
    </w:rPr>
  </w:style>
  <w:style w:type="paragraph" w:customStyle="1" w:styleId="master-page37LTGliederung1">
    <w:name w:val="master-page37~LT~Gliederung 1"/>
    <w:pPr>
      <w:suppressAutoHyphens/>
      <w:spacing w:before="283"/>
    </w:pPr>
    <w:rPr>
      <w:rFonts w:ascii="Arial" w:eastAsia="Tahoma" w:hAnsi="Arial" w:cs="Liberation Sans"/>
      <w:color w:val="000000"/>
      <w:kern w:val="1"/>
      <w:sz w:val="63"/>
      <w:szCs w:val="24"/>
      <w:lang w:eastAsia="zh-CN" w:bidi="hi-IN"/>
    </w:rPr>
  </w:style>
  <w:style w:type="paragraph" w:customStyle="1" w:styleId="master-page37LTGliederung2">
    <w:name w:val="master-page37~LT~Gliederung 2"/>
    <w:basedOn w:val="master-page37LTGliederung1"/>
    <w:pPr>
      <w:spacing w:before="227"/>
    </w:pPr>
    <w:rPr>
      <w:rFonts w:cs="Arial"/>
      <w:sz w:val="56"/>
    </w:rPr>
  </w:style>
  <w:style w:type="paragraph" w:customStyle="1" w:styleId="master-page37LTGliederung3">
    <w:name w:val="master-page37~LT~Gliederung 3"/>
    <w:basedOn w:val="master-page37LTGliederung2"/>
    <w:pPr>
      <w:spacing w:before="170"/>
    </w:pPr>
    <w:rPr>
      <w:sz w:val="48"/>
    </w:rPr>
  </w:style>
  <w:style w:type="paragraph" w:customStyle="1" w:styleId="master-page37LTGliederung4">
    <w:name w:val="master-page37~LT~Gliederung 4"/>
    <w:basedOn w:val="master-page37LTGliederung3"/>
    <w:pPr>
      <w:spacing w:before="113"/>
    </w:pPr>
    <w:rPr>
      <w:sz w:val="40"/>
    </w:rPr>
  </w:style>
  <w:style w:type="paragraph" w:customStyle="1" w:styleId="master-page37LTGliederung5">
    <w:name w:val="master-page37~LT~Gliederung 5"/>
    <w:basedOn w:val="master-page37LTGliederung4"/>
    <w:pPr>
      <w:spacing w:before="57"/>
    </w:pPr>
  </w:style>
  <w:style w:type="paragraph" w:customStyle="1" w:styleId="master-page37LTGliederung6">
    <w:name w:val="master-page37~LT~Gliederung 6"/>
    <w:basedOn w:val="master-page37LTGliederung5"/>
  </w:style>
  <w:style w:type="paragraph" w:customStyle="1" w:styleId="master-page37LTGliederung7">
    <w:name w:val="master-page37~LT~Gliederung 7"/>
    <w:basedOn w:val="master-page37LTGliederung6"/>
  </w:style>
  <w:style w:type="paragraph" w:customStyle="1" w:styleId="master-page37LTGliederung8">
    <w:name w:val="master-page37~LT~Gliederung 8"/>
    <w:basedOn w:val="master-page37LTGliederung7"/>
  </w:style>
  <w:style w:type="paragraph" w:customStyle="1" w:styleId="master-page37LTGliederung9">
    <w:name w:val="master-page37~LT~Gliederung 9"/>
    <w:basedOn w:val="master-page37LTGliederung8"/>
  </w:style>
  <w:style w:type="paragraph" w:customStyle="1" w:styleId="master-page37LTTitel">
    <w:name w:val="master-page37~LT~Titel"/>
    <w:pPr>
      <w:suppressAutoHyphens/>
      <w:jc w:val="center"/>
    </w:pPr>
    <w:rPr>
      <w:rFonts w:ascii="Arial" w:eastAsia="Tahoma" w:hAnsi="Arial" w:cs="Liberation Sans"/>
      <w:color w:val="000000"/>
      <w:kern w:val="1"/>
      <w:sz w:val="88"/>
      <w:szCs w:val="24"/>
      <w:lang w:eastAsia="zh-CN" w:bidi="hi-IN"/>
    </w:rPr>
  </w:style>
  <w:style w:type="paragraph" w:customStyle="1" w:styleId="master-page37LTUntertitel">
    <w:name w:val="master-page37~LT~Untertitel"/>
    <w:pPr>
      <w:suppressAutoHyphens/>
      <w:jc w:val="center"/>
    </w:pPr>
    <w:rPr>
      <w:rFonts w:ascii="Arial" w:eastAsia="Tahoma" w:hAnsi="Arial" w:cs="Liberation Sans"/>
      <w:color w:val="000000"/>
      <w:kern w:val="1"/>
      <w:sz w:val="64"/>
      <w:szCs w:val="24"/>
      <w:lang w:eastAsia="zh-CN" w:bidi="hi-IN"/>
    </w:rPr>
  </w:style>
  <w:style w:type="paragraph" w:customStyle="1" w:styleId="master-page37LTNotizen">
    <w:name w:val="master-page37~LT~Notizen"/>
    <w:pPr>
      <w:suppressAutoHyphens/>
      <w:ind w:left="340" w:hanging="340"/>
    </w:pPr>
    <w:rPr>
      <w:rFonts w:ascii="Arial" w:eastAsia="Tahoma" w:hAnsi="Arial" w:cs="Liberation Sans"/>
      <w:color w:val="000000"/>
      <w:kern w:val="1"/>
      <w:sz w:val="40"/>
      <w:szCs w:val="24"/>
      <w:lang w:eastAsia="zh-CN" w:bidi="hi-IN"/>
    </w:rPr>
  </w:style>
  <w:style w:type="paragraph" w:customStyle="1" w:styleId="master-page37LTHintergrundobjekte">
    <w:name w:val="master-page37~LT~Hintergrundobjekte"/>
    <w:pPr>
      <w:suppressAutoHyphens/>
    </w:pPr>
    <w:rPr>
      <w:rFonts w:ascii="Liberation Serif" w:eastAsia="Tahoma" w:hAnsi="Liberation Serif" w:cs="Liberation Sans"/>
      <w:kern w:val="1"/>
      <w:sz w:val="24"/>
      <w:szCs w:val="24"/>
      <w:lang w:eastAsia="zh-CN" w:bidi="hi-IN"/>
    </w:rPr>
  </w:style>
  <w:style w:type="paragraph" w:customStyle="1" w:styleId="master-page37LTHintergrund">
    <w:name w:val="master-page37~LT~Hintergrund"/>
    <w:pPr>
      <w:suppressAutoHyphens/>
    </w:pPr>
    <w:rPr>
      <w:rFonts w:ascii="Liberation Serif" w:eastAsia="Tahoma" w:hAnsi="Liberation Serif" w:cs="Liberation Sans"/>
      <w:kern w:val="1"/>
      <w:sz w:val="24"/>
      <w:szCs w:val="24"/>
      <w:lang w:eastAsia="zh-CN" w:bidi="hi-IN"/>
    </w:rPr>
  </w:style>
  <w:style w:type="paragraph" w:customStyle="1" w:styleId="master-page86LTGliederung1">
    <w:name w:val="master-page86~LT~Gliederung 1"/>
    <w:pPr>
      <w:suppressAutoHyphens/>
      <w:spacing w:before="283"/>
    </w:pPr>
    <w:rPr>
      <w:rFonts w:ascii="Arial" w:eastAsia="Tahoma" w:hAnsi="Arial" w:cs="Liberation Sans"/>
      <w:color w:val="000000"/>
      <w:kern w:val="1"/>
      <w:sz w:val="63"/>
      <w:szCs w:val="24"/>
      <w:lang w:eastAsia="zh-CN" w:bidi="hi-IN"/>
    </w:rPr>
  </w:style>
  <w:style w:type="paragraph" w:customStyle="1" w:styleId="master-page86LTGliederung2">
    <w:name w:val="master-page86~LT~Gliederung 2"/>
    <w:basedOn w:val="master-page86LTGliederung1"/>
    <w:pPr>
      <w:spacing w:before="227"/>
    </w:pPr>
    <w:rPr>
      <w:rFonts w:cs="Arial"/>
      <w:sz w:val="56"/>
    </w:rPr>
  </w:style>
  <w:style w:type="paragraph" w:customStyle="1" w:styleId="master-page86LTGliederung3">
    <w:name w:val="master-page86~LT~Gliederung 3"/>
    <w:basedOn w:val="master-page86LTGliederung2"/>
    <w:pPr>
      <w:spacing w:before="170"/>
    </w:pPr>
    <w:rPr>
      <w:sz w:val="48"/>
    </w:rPr>
  </w:style>
  <w:style w:type="paragraph" w:customStyle="1" w:styleId="master-page86LTGliederung4">
    <w:name w:val="master-page86~LT~Gliederung 4"/>
    <w:basedOn w:val="master-page86LTGliederung3"/>
    <w:pPr>
      <w:spacing w:before="113"/>
    </w:pPr>
    <w:rPr>
      <w:sz w:val="40"/>
    </w:rPr>
  </w:style>
  <w:style w:type="paragraph" w:customStyle="1" w:styleId="master-page86LTGliederung5">
    <w:name w:val="master-page86~LT~Gliederung 5"/>
    <w:basedOn w:val="master-page86LTGliederung4"/>
    <w:pPr>
      <w:spacing w:before="57"/>
    </w:pPr>
  </w:style>
  <w:style w:type="paragraph" w:customStyle="1" w:styleId="master-page86LTGliederung6">
    <w:name w:val="master-page86~LT~Gliederung 6"/>
    <w:basedOn w:val="master-page86LTGliederung5"/>
  </w:style>
  <w:style w:type="paragraph" w:customStyle="1" w:styleId="master-page86LTGliederung7">
    <w:name w:val="master-page86~LT~Gliederung 7"/>
    <w:basedOn w:val="master-page86LTGliederung6"/>
  </w:style>
  <w:style w:type="paragraph" w:customStyle="1" w:styleId="master-page86LTGliederung8">
    <w:name w:val="master-page86~LT~Gliederung 8"/>
    <w:basedOn w:val="master-page86LTGliederung7"/>
  </w:style>
  <w:style w:type="paragraph" w:customStyle="1" w:styleId="master-page86LTGliederung9">
    <w:name w:val="master-page86~LT~Gliederung 9"/>
    <w:basedOn w:val="master-page86LTGliederung8"/>
  </w:style>
  <w:style w:type="paragraph" w:customStyle="1" w:styleId="master-page86LTTitel">
    <w:name w:val="master-page86~LT~Titel"/>
    <w:pPr>
      <w:suppressAutoHyphens/>
      <w:jc w:val="center"/>
    </w:pPr>
    <w:rPr>
      <w:rFonts w:ascii="Arial" w:eastAsia="Tahoma" w:hAnsi="Arial" w:cs="Liberation Sans"/>
      <w:color w:val="000000"/>
      <w:kern w:val="1"/>
      <w:sz w:val="88"/>
      <w:szCs w:val="24"/>
      <w:lang w:eastAsia="zh-CN" w:bidi="hi-IN"/>
    </w:rPr>
  </w:style>
  <w:style w:type="paragraph" w:customStyle="1" w:styleId="master-page86LTUntertitel">
    <w:name w:val="master-page86~LT~Untertitel"/>
    <w:pPr>
      <w:suppressAutoHyphens/>
      <w:jc w:val="center"/>
    </w:pPr>
    <w:rPr>
      <w:rFonts w:ascii="Arial" w:eastAsia="Tahoma" w:hAnsi="Arial" w:cs="Liberation Sans"/>
      <w:color w:val="000000"/>
      <w:kern w:val="1"/>
      <w:sz w:val="64"/>
      <w:szCs w:val="24"/>
      <w:lang w:eastAsia="zh-CN" w:bidi="hi-IN"/>
    </w:rPr>
  </w:style>
  <w:style w:type="paragraph" w:customStyle="1" w:styleId="master-page86LTNotizen">
    <w:name w:val="master-page86~LT~Notizen"/>
    <w:pPr>
      <w:suppressAutoHyphens/>
      <w:ind w:left="340" w:hanging="340"/>
    </w:pPr>
    <w:rPr>
      <w:rFonts w:ascii="Arial" w:eastAsia="Tahoma" w:hAnsi="Arial" w:cs="Liberation Sans"/>
      <w:color w:val="000000"/>
      <w:kern w:val="1"/>
      <w:sz w:val="40"/>
      <w:szCs w:val="24"/>
      <w:lang w:eastAsia="zh-CN" w:bidi="hi-IN"/>
    </w:rPr>
  </w:style>
  <w:style w:type="paragraph" w:customStyle="1" w:styleId="master-page86LTHintergrundobjekte">
    <w:name w:val="master-page86~LT~Hintergrundobjekte"/>
    <w:pPr>
      <w:suppressAutoHyphens/>
    </w:pPr>
    <w:rPr>
      <w:rFonts w:ascii="Liberation Serif" w:eastAsia="Tahoma" w:hAnsi="Liberation Serif" w:cs="Liberation Sans"/>
      <w:kern w:val="1"/>
      <w:sz w:val="24"/>
      <w:szCs w:val="24"/>
      <w:lang w:eastAsia="zh-CN" w:bidi="hi-IN"/>
    </w:rPr>
  </w:style>
  <w:style w:type="paragraph" w:customStyle="1" w:styleId="master-page86LTHintergrund">
    <w:name w:val="master-page86~LT~Hintergrund"/>
    <w:pPr>
      <w:suppressAutoHyphens/>
    </w:pPr>
    <w:rPr>
      <w:rFonts w:ascii="Liberation Serif" w:eastAsia="Tahoma" w:hAnsi="Liberation Serif" w:cs="Liberation Sans"/>
      <w:kern w:val="1"/>
      <w:sz w:val="24"/>
      <w:szCs w:val="24"/>
      <w:lang w:eastAsia="zh-CN" w:bidi="hi-IN"/>
    </w:rPr>
  </w:style>
  <w:style w:type="paragraph" w:customStyle="1" w:styleId="master-page89LTGliederung1">
    <w:name w:val="master-page89~LT~Gliederung 1"/>
    <w:pPr>
      <w:suppressAutoHyphens/>
      <w:spacing w:before="283"/>
    </w:pPr>
    <w:rPr>
      <w:rFonts w:ascii="Arial" w:eastAsia="Tahoma" w:hAnsi="Arial" w:cs="Liberation Sans"/>
      <w:color w:val="000000"/>
      <w:kern w:val="1"/>
      <w:sz w:val="63"/>
      <w:szCs w:val="24"/>
      <w:lang w:eastAsia="zh-CN" w:bidi="hi-IN"/>
    </w:rPr>
  </w:style>
  <w:style w:type="paragraph" w:customStyle="1" w:styleId="master-page89LTGliederung2">
    <w:name w:val="master-page89~LT~Gliederung 2"/>
    <w:basedOn w:val="master-page89LTGliederung1"/>
    <w:pPr>
      <w:spacing w:before="227"/>
    </w:pPr>
    <w:rPr>
      <w:rFonts w:cs="Arial"/>
      <w:sz w:val="56"/>
    </w:rPr>
  </w:style>
  <w:style w:type="paragraph" w:customStyle="1" w:styleId="master-page89LTGliederung3">
    <w:name w:val="master-page89~LT~Gliederung 3"/>
    <w:basedOn w:val="master-page89LTGliederung2"/>
    <w:pPr>
      <w:spacing w:before="170"/>
    </w:pPr>
    <w:rPr>
      <w:sz w:val="48"/>
    </w:rPr>
  </w:style>
  <w:style w:type="paragraph" w:customStyle="1" w:styleId="master-page89LTGliederung4">
    <w:name w:val="master-page89~LT~Gliederung 4"/>
    <w:basedOn w:val="master-page89LTGliederung3"/>
    <w:pPr>
      <w:spacing w:before="113"/>
    </w:pPr>
    <w:rPr>
      <w:sz w:val="40"/>
    </w:rPr>
  </w:style>
  <w:style w:type="paragraph" w:customStyle="1" w:styleId="master-page89LTGliederung5">
    <w:name w:val="master-page89~LT~Gliederung 5"/>
    <w:basedOn w:val="master-page89LTGliederung4"/>
    <w:pPr>
      <w:spacing w:before="57"/>
    </w:pPr>
  </w:style>
  <w:style w:type="paragraph" w:customStyle="1" w:styleId="master-page89LTGliederung6">
    <w:name w:val="master-page89~LT~Gliederung 6"/>
    <w:basedOn w:val="master-page89LTGliederung5"/>
  </w:style>
  <w:style w:type="paragraph" w:customStyle="1" w:styleId="master-page89LTGliederung7">
    <w:name w:val="master-page89~LT~Gliederung 7"/>
    <w:basedOn w:val="master-page89LTGliederung6"/>
  </w:style>
  <w:style w:type="paragraph" w:customStyle="1" w:styleId="master-page89LTGliederung8">
    <w:name w:val="master-page89~LT~Gliederung 8"/>
    <w:basedOn w:val="master-page89LTGliederung7"/>
  </w:style>
  <w:style w:type="paragraph" w:customStyle="1" w:styleId="master-page89LTGliederung9">
    <w:name w:val="master-page89~LT~Gliederung 9"/>
    <w:basedOn w:val="master-page89LTGliederung8"/>
  </w:style>
  <w:style w:type="paragraph" w:customStyle="1" w:styleId="master-page89LTTitel">
    <w:name w:val="master-page89~LT~Titel"/>
    <w:pPr>
      <w:suppressAutoHyphens/>
      <w:jc w:val="center"/>
    </w:pPr>
    <w:rPr>
      <w:rFonts w:ascii="Arial" w:eastAsia="Tahoma" w:hAnsi="Arial" w:cs="Liberation Sans"/>
      <w:color w:val="000000"/>
      <w:kern w:val="1"/>
      <w:sz w:val="88"/>
      <w:szCs w:val="24"/>
      <w:lang w:eastAsia="zh-CN" w:bidi="hi-IN"/>
    </w:rPr>
  </w:style>
  <w:style w:type="paragraph" w:customStyle="1" w:styleId="master-page89LTUntertitel">
    <w:name w:val="master-page89~LT~Untertitel"/>
    <w:pPr>
      <w:suppressAutoHyphens/>
      <w:jc w:val="center"/>
    </w:pPr>
    <w:rPr>
      <w:rFonts w:ascii="Arial" w:eastAsia="Tahoma" w:hAnsi="Arial" w:cs="Liberation Sans"/>
      <w:color w:val="000000"/>
      <w:kern w:val="1"/>
      <w:sz w:val="64"/>
      <w:szCs w:val="24"/>
      <w:lang w:eastAsia="zh-CN" w:bidi="hi-IN"/>
    </w:rPr>
  </w:style>
  <w:style w:type="paragraph" w:customStyle="1" w:styleId="master-page89LTNotizen">
    <w:name w:val="master-page89~LT~Notizen"/>
    <w:pPr>
      <w:suppressAutoHyphens/>
      <w:ind w:left="340" w:hanging="340"/>
    </w:pPr>
    <w:rPr>
      <w:rFonts w:ascii="Arial" w:eastAsia="Tahoma" w:hAnsi="Arial" w:cs="Liberation Sans"/>
      <w:color w:val="000000"/>
      <w:kern w:val="1"/>
      <w:sz w:val="40"/>
      <w:szCs w:val="24"/>
      <w:lang w:eastAsia="zh-CN" w:bidi="hi-IN"/>
    </w:rPr>
  </w:style>
  <w:style w:type="paragraph" w:customStyle="1" w:styleId="master-page89LTHintergrundobjekte">
    <w:name w:val="master-page89~LT~Hintergrundobjekte"/>
    <w:pPr>
      <w:suppressAutoHyphens/>
    </w:pPr>
    <w:rPr>
      <w:rFonts w:ascii="Liberation Serif" w:eastAsia="Tahoma" w:hAnsi="Liberation Serif" w:cs="Liberation Sans"/>
      <w:kern w:val="1"/>
      <w:sz w:val="24"/>
      <w:szCs w:val="24"/>
      <w:lang w:eastAsia="zh-CN" w:bidi="hi-IN"/>
    </w:rPr>
  </w:style>
  <w:style w:type="paragraph" w:customStyle="1" w:styleId="master-page89LTHintergrund">
    <w:name w:val="master-page89~LT~Hintergrund"/>
    <w:pPr>
      <w:suppressAutoHyphens/>
    </w:pPr>
    <w:rPr>
      <w:rFonts w:ascii="Liberation Serif" w:eastAsia="Tahoma" w:hAnsi="Liberation Serif" w:cs="Liberation Sans"/>
      <w:kern w:val="1"/>
      <w:sz w:val="24"/>
      <w:szCs w:val="24"/>
      <w:lang w:eastAsia="zh-CN" w:bidi="hi-IN"/>
    </w:rPr>
  </w:style>
  <w:style w:type="paragraph" w:customStyle="1" w:styleId="Textoprformatado">
    <w:name w:val="Texto préformatado"/>
    <w:basedOn w:val="Normal"/>
  </w:style>
  <w:style w:type="table" w:styleId="Tabelacomgrade">
    <w:name w:val="Table Grid"/>
    <w:basedOn w:val="Tabelanormal"/>
    <w:uiPriority w:val="39"/>
    <w:rsid w:val="00B1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A51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t-BR" w:bidi="ar-SA"/>
    </w:rPr>
  </w:style>
  <w:style w:type="character" w:customStyle="1" w:styleId="Pr-formataoHTMLChar">
    <w:name w:val="Pré-formatação HTML Char"/>
    <w:link w:val="Pr-formataoHTML"/>
    <w:uiPriority w:val="99"/>
    <w:semiHidden/>
    <w:rsid w:val="00A51911"/>
    <w:rPr>
      <w:rFonts w:ascii="Courier New" w:eastAsia="Times New Roman" w:hAnsi="Courier New" w:cs="Courier New"/>
    </w:rPr>
  </w:style>
  <w:style w:type="paragraph" w:styleId="NormalWeb">
    <w:name w:val="Normal (Web)"/>
    <w:basedOn w:val="Normal"/>
    <w:uiPriority w:val="99"/>
    <w:unhideWhenUsed/>
    <w:rsid w:val="00D951DB"/>
    <w:pPr>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Hyperlink">
    <w:name w:val="Hyperlink"/>
    <w:uiPriority w:val="99"/>
    <w:unhideWhenUsed/>
    <w:rsid w:val="003E7251"/>
    <w:rPr>
      <w:color w:val="0563C1"/>
      <w:u w:val="single"/>
    </w:rPr>
  </w:style>
  <w:style w:type="paragraph" w:styleId="Textodenotaderodap">
    <w:name w:val="footnote text"/>
    <w:basedOn w:val="Normal"/>
    <w:link w:val="TextodenotaderodapChar"/>
    <w:uiPriority w:val="99"/>
    <w:semiHidden/>
    <w:unhideWhenUsed/>
    <w:rsid w:val="00FE7A29"/>
    <w:rPr>
      <w:rFonts w:cs="Mangal"/>
      <w:sz w:val="20"/>
      <w:szCs w:val="18"/>
    </w:rPr>
  </w:style>
  <w:style w:type="character" w:customStyle="1" w:styleId="TextodenotaderodapChar">
    <w:name w:val="Texto de nota de rodapé Char"/>
    <w:link w:val="Textodenotaderodap"/>
    <w:uiPriority w:val="99"/>
    <w:semiHidden/>
    <w:rsid w:val="00FE7A29"/>
    <w:rPr>
      <w:rFonts w:ascii="Liberation Serif" w:hAnsi="Liberation Serif" w:cs="Mangal"/>
      <w:kern w:val="1"/>
      <w:szCs w:val="18"/>
      <w:lang w:eastAsia="zh-CN" w:bidi="hi-IN"/>
    </w:rPr>
  </w:style>
  <w:style w:type="character" w:styleId="Refdenotaderodap">
    <w:name w:val="footnote reference"/>
    <w:uiPriority w:val="99"/>
    <w:semiHidden/>
    <w:unhideWhenUsed/>
    <w:rsid w:val="00FE7A29"/>
    <w:rPr>
      <w:vertAlign w:val="superscript"/>
    </w:rPr>
  </w:style>
  <w:style w:type="character" w:styleId="TextodoEspaoReservado">
    <w:name w:val="Placeholder Text"/>
    <w:basedOn w:val="Fontepargpadro"/>
    <w:uiPriority w:val="99"/>
    <w:semiHidden/>
    <w:rsid w:val="004F5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21">
      <w:bodyDiv w:val="1"/>
      <w:marLeft w:val="0"/>
      <w:marRight w:val="0"/>
      <w:marTop w:val="0"/>
      <w:marBottom w:val="0"/>
      <w:divBdr>
        <w:top w:val="none" w:sz="0" w:space="0" w:color="auto"/>
        <w:left w:val="none" w:sz="0" w:space="0" w:color="auto"/>
        <w:bottom w:val="none" w:sz="0" w:space="0" w:color="auto"/>
        <w:right w:val="none" w:sz="0" w:space="0" w:color="auto"/>
      </w:divBdr>
    </w:div>
    <w:div w:id="157700437">
      <w:bodyDiv w:val="1"/>
      <w:marLeft w:val="0"/>
      <w:marRight w:val="0"/>
      <w:marTop w:val="0"/>
      <w:marBottom w:val="0"/>
      <w:divBdr>
        <w:top w:val="none" w:sz="0" w:space="0" w:color="auto"/>
        <w:left w:val="none" w:sz="0" w:space="0" w:color="auto"/>
        <w:bottom w:val="none" w:sz="0" w:space="0" w:color="auto"/>
        <w:right w:val="none" w:sz="0" w:space="0" w:color="auto"/>
      </w:divBdr>
    </w:div>
    <w:div w:id="180776027">
      <w:bodyDiv w:val="1"/>
      <w:marLeft w:val="0"/>
      <w:marRight w:val="0"/>
      <w:marTop w:val="0"/>
      <w:marBottom w:val="0"/>
      <w:divBdr>
        <w:top w:val="none" w:sz="0" w:space="0" w:color="auto"/>
        <w:left w:val="none" w:sz="0" w:space="0" w:color="auto"/>
        <w:bottom w:val="none" w:sz="0" w:space="0" w:color="auto"/>
        <w:right w:val="none" w:sz="0" w:space="0" w:color="auto"/>
      </w:divBdr>
    </w:div>
    <w:div w:id="858735987">
      <w:bodyDiv w:val="1"/>
      <w:marLeft w:val="0"/>
      <w:marRight w:val="0"/>
      <w:marTop w:val="0"/>
      <w:marBottom w:val="0"/>
      <w:divBdr>
        <w:top w:val="none" w:sz="0" w:space="0" w:color="auto"/>
        <w:left w:val="none" w:sz="0" w:space="0" w:color="auto"/>
        <w:bottom w:val="none" w:sz="0" w:space="0" w:color="auto"/>
        <w:right w:val="none" w:sz="0" w:space="0" w:color="auto"/>
      </w:divBdr>
    </w:div>
    <w:div w:id="935361451">
      <w:bodyDiv w:val="1"/>
      <w:marLeft w:val="0"/>
      <w:marRight w:val="0"/>
      <w:marTop w:val="0"/>
      <w:marBottom w:val="0"/>
      <w:divBdr>
        <w:top w:val="none" w:sz="0" w:space="0" w:color="auto"/>
        <w:left w:val="none" w:sz="0" w:space="0" w:color="auto"/>
        <w:bottom w:val="none" w:sz="0" w:space="0" w:color="auto"/>
        <w:right w:val="none" w:sz="0" w:space="0" w:color="auto"/>
      </w:divBdr>
    </w:div>
    <w:div w:id="1006133097">
      <w:bodyDiv w:val="1"/>
      <w:marLeft w:val="0"/>
      <w:marRight w:val="0"/>
      <w:marTop w:val="0"/>
      <w:marBottom w:val="0"/>
      <w:divBdr>
        <w:top w:val="none" w:sz="0" w:space="0" w:color="auto"/>
        <w:left w:val="none" w:sz="0" w:space="0" w:color="auto"/>
        <w:bottom w:val="none" w:sz="0" w:space="0" w:color="auto"/>
        <w:right w:val="none" w:sz="0" w:space="0" w:color="auto"/>
      </w:divBdr>
    </w:div>
    <w:div w:id="1053505787">
      <w:bodyDiv w:val="1"/>
      <w:marLeft w:val="0"/>
      <w:marRight w:val="0"/>
      <w:marTop w:val="0"/>
      <w:marBottom w:val="0"/>
      <w:divBdr>
        <w:top w:val="none" w:sz="0" w:space="0" w:color="auto"/>
        <w:left w:val="none" w:sz="0" w:space="0" w:color="auto"/>
        <w:bottom w:val="none" w:sz="0" w:space="0" w:color="auto"/>
        <w:right w:val="none" w:sz="0" w:space="0" w:color="auto"/>
      </w:divBdr>
    </w:div>
    <w:div w:id="1400788320">
      <w:bodyDiv w:val="1"/>
      <w:marLeft w:val="0"/>
      <w:marRight w:val="0"/>
      <w:marTop w:val="0"/>
      <w:marBottom w:val="0"/>
      <w:divBdr>
        <w:top w:val="none" w:sz="0" w:space="0" w:color="auto"/>
        <w:left w:val="none" w:sz="0" w:space="0" w:color="auto"/>
        <w:bottom w:val="none" w:sz="0" w:space="0" w:color="auto"/>
        <w:right w:val="none" w:sz="0" w:space="0" w:color="auto"/>
      </w:divBdr>
    </w:div>
    <w:div w:id="20482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FFAA2784-3413-4C78-95AC-6D6A5A9F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6673</Words>
  <Characters>36037</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Alexandre Loures</cp:lastModifiedBy>
  <cp:revision>12</cp:revision>
  <cp:lastPrinted>1900-01-01T03:00:00Z</cp:lastPrinted>
  <dcterms:created xsi:type="dcterms:W3CDTF">2017-09-09T00:52:00Z</dcterms:created>
  <dcterms:modified xsi:type="dcterms:W3CDTF">2017-09-09T01:18:00Z</dcterms:modified>
</cp:coreProperties>
</file>